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26" w:rsidRPr="00244A26" w:rsidRDefault="00244A26" w:rsidP="00244A26">
      <w:pPr>
        <w:jc w:val="center"/>
        <w:rPr>
          <w:rFonts w:ascii="仿宋" w:eastAsia="仿宋" w:hAnsi="仿宋"/>
          <w:b/>
          <w:sz w:val="32"/>
          <w:szCs w:val="32"/>
        </w:rPr>
      </w:pPr>
      <w:r w:rsidRPr="00244A26">
        <w:rPr>
          <w:rFonts w:ascii="仿宋" w:eastAsia="仿宋" w:hAnsi="仿宋" w:hint="eastAsia"/>
          <w:b/>
          <w:sz w:val="32"/>
          <w:szCs w:val="32"/>
        </w:rPr>
        <w:t>专家</w:t>
      </w:r>
      <w:bookmarkStart w:id="0" w:name="_GoBack"/>
      <w:bookmarkEnd w:id="0"/>
      <w:r w:rsidRPr="00244A26">
        <w:rPr>
          <w:rFonts w:ascii="仿宋" w:eastAsia="仿宋" w:hAnsi="仿宋" w:hint="eastAsia"/>
          <w:b/>
          <w:sz w:val="32"/>
          <w:szCs w:val="32"/>
        </w:rPr>
        <w:t>监督如何带动民众监督？</w:t>
      </w:r>
    </w:p>
    <w:p w:rsidR="00244A26" w:rsidRDefault="00244A26" w:rsidP="00244A26">
      <w:pPr>
        <w:jc w:val="center"/>
        <w:rPr>
          <w:rFonts w:ascii="仿宋" w:eastAsia="仿宋" w:hAnsi="仿宋"/>
          <w:b/>
          <w:sz w:val="32"/>
          <w:szCs w:val="32"/>
        </w:rPr>
      </w:pPr>
      <w:r w:rsidRPr="00244A26">
        <w:rPr>
          <w:rFonts w:ascii="仿宋" w:eastAsia="仿宋" w:hAnsi="仿宋" w:hint="eastAsia"/>
          <w:b/>
          <w:sz w:val="32"/>
          <w:szCs w:val="32"/>
        </w:rPr>
        <w:t>——看“财政透明度”三榜连发</w:t>
      </w:r>
    </w:p>
    <w:p w:rsidR="00244A26" w:rsidRPr="00244A26" w:rsidRDefault="00244A26" w:rsidP="00244A26">
      <w:pPr>
        <w:jc w:val="center"/>
        <w:rPr>
          <w:rFonts w:ascii="仿宋" w:eastAsia="仿宋" w:hAnsi="仿宋"/>
          <w:b/>
          <w:sz w:val="32"/>
          <w:szCs w:val="32"/>
        </w:rPr>
      </w:pPr>
    </w:p>
    <w:p w:rsidR="00244A26" w:rsidRPr="00D61D0D" w:rsidRDefault="00244A26" w:rsidP="00244A26">
      <w:pPr>
        <w:pStyle w:val="2"/>
        <w:spacing w:before="0" w:after="0" w:line="240" w:lineRule="auto"/>
        <w:rPr>
          <w:rFonts w:ascii="仿宋" w:eastAsia="仿宋" w:hAnsi="仿宋"/>
          <w:b/>
          <w:sz w:val="28"/>
          <w:szCs w:val="28"/>
        </w:rPr>
      </w:pPr>
      <w:r w:rsidRPr="00D61D0D">
        <w:rPr>
          <w:rFonts w:ascii="仿宋" w:eastAsia="仿宋" w:hAnsi="仿宋" w:hint="eastAsia"/>
          <w:b/>
          <w:sz w:val="28"/>
          <w:szCs w:val="28"/>
        </w:rPr>
        <w:t>一、前言</w:t>
      </w:r>
    </w:p>
    <w:p w:rsidR="00244A26" w:rsidRPr="00244A26" w:rsidRDefault="00244A26" w:rsidP="00244A26">
      <w:pPr>
        <w:ind w:firstLineChars="200" w:firstLine="420"/>
        <w:rPr>
          <w:rFonts w:ascii="仿宋" w:eastAsia="仿宋" w:hAnsi="仿宋"/>
          <w:szCs w:val="24"/>
        </w:rPr>
      </w:pPr>
      <w:r w:rsidRPr="00244A26">
        <w:rPr>
          <w:rFonts w:ascii="仿宋" w:eastAsia="仿宋" w:hAnsi="仿宋" w:hint="eastAsia"/>
          <w:szCs w:val="24"/>
        </w:rPr>
        <w:t>2017年末，我国地方政府财政透明度相关报告如约而至。11月26日，上海财经大学公共经济与管理学院公共政策研究中心发布了《</w:t>
      </w:r>
      <w:r w:rsidRPr="00244A26">
        <w:rPr>
          <w:rFonts w:ascii="仿宋" w:eastAsia="仿宋" w:hAnsi="仿宋"/>
          <w:szCs w:val="24"/>
        </w:rPr>
        <w:t>201</w:t>
      </w:r>
      <w:r w:rsidRPr="00244A26">
        <w:rPr>
          <w:rFonts w:ascii="仿宋" w:eastAsia="仿宋" w:hAnsi="仿宋" w:hint="eastAsia"/>
          <w:szCs w:val="24"/>
        </w:rPr>
        <w:t>7</w:t>
      </w:r>
      <w:r w:rsidRPr="00244A26">
        <w:rPr>
          <w:rFonts w:ascii="仿宋" w:eastAsia="仿宋" w:hAnsi="仿宋"/>
          <w:szCs w:val="24"/>
        </w:rPr>
        <w:t>中国财政透明度报告》</w:t>
      </w:r>
      <w:r w:rsidRPr="00244A26">
        <w:rPr>
          <w:rFonts w:ascii="仿宋" w:eastAsia="仿宋" w:hAnsi="仿宋" w:hint="eastAsia"/>
          <w:szCs w:val="24"/>
        </w:rPr>
        <w:t>，为这个富有生命力的系列注入了新的活力。上海财大的《中国财政透明度报告》以我国31个省级行政单位的本级</w:t>
      </w:r>
      <w:r w:rsidRPr="00244A26">
        <w:rPr>
          <w:rFonts w:ascii="仿宋" w:eastAsia="仿宋" w:hAnsi="仿宋"/>
          <w:szCs w:val="24"/>
        </w:rPr>
        <w:t>预决算信息为</w:t>
      </w:r>
      <w:r w:rsidRPr="00244A26">
        <w:rPr>
          <w:rFonts w:ascii="仿宋" w:eastAsia="仿宋" w:hAnsi="仿宋" w:hint="eastAsia"/>
          <w:szCs w:val="24"/>
        </w:rPr>
        <w:t>基本</w:t>
      </w:r>
      <w:r w:rsidRPr="00244A26">
        <w:rPr>
          <w:rFonts w:ascii="仿宋" w:eastAsia="仿宋" w:hAnsi="仿宋"/>
          <w:szCs w:val="24"/>
        </w:rPr>
        <w:t>调查对象，</w:t>
      </w:r>
      <w:r w:rsidRPr="00244A26">
        <w:rPr>
          <w:rFonts w:ascii="仿宋" w:eastAsia="仿宋" w:hAnsi="仿宋" w:hint="eastAsia"/>
          <w:szCs w:val="24"/>
        </w:rPr>
        <w:t>对各省财政</w:t>
      </w:r>
      <w:r w:rsidRPr="00244A26">
        <w:rPr>
          <w:rFonts w:ascii="仿宋" w:eastAsia="仿宋" w:hAnsi="仿宋"/>
          <w:szCs w:val="24"/>
        </w:rPr>
        <w:t>信息</w:t>
      </w:r>
      <w:r w:rsidRPr="00244A26">
        <w:rPr>
          <w:rFonts w:ascii="仿宋" w:eastAsia="仿宋" w:hAnsi="仿宋" w:hint="eastAsia"/>
          <w:szCs w:val="24"/>
        </w:rPr>
        <w:t>的</w:t>
      </w:r>
      <w:r w:rsidRPr="00244A26">
        <w:rPr>
          <w:rFonts w:ascii="仿宋" w:eastAsia="仿宋" w:hAnsi="仿宋"/>
          <w:szCs w:val="24"/>
        </w:rPr>
        <w:t>透明程度进行评估分析</w:t>
      </w:r>
      <w:r w:rsidRPr="00244A26">
        <w:rPr>
          <w:rFonts w:ascii="仿宋" w:eastAsia="仿宋" w:hAnsi="仿宋" w:hint="eastAsia"/>
          <w:szCs w:val="24"/>
        </w:rPr>
        <w:t>，至今已是第九年。期间各期《报告》既见证了我国地方政府财政透明度的逐渐提高，也是督促政府预决算信息透明化的重要力量。</w:t>
      </w:r>
    </w:p>
    <w:p w:rsidR="00244A26" w:rsidRPr="00244A26" w:rsidRDefault="00244A26" w:rsidP="00D61D0D">
      <w:pPr>
        <w:ind w:firstLineChars="200" w:firstLine="420"/>
        <w:rPr>
          <w:rFonts w:ascii="仿宋" w:eastAsia="仿宋" w:hAnsi="仿宋"/>
          <w:szCs w:val="24"/>
        </w:rPr>
      </w:pPr>
      <w:r w:rsidRPr="00244A26">
        <w:rPr>
          <w:rFonts w:ascii="仿宋" w:eastAsia="仿宋" w:hAnsi="仿宋" w:hint="eastAsia"/>
          <w:szCs w:val="24"/>
        </w:rPr>
        <w:t>无独有偶，财政部也在2017年末首次对外发布了《2016地方预决算公开度排行榜》。这份排行榜对16年地方（涵盖了36个省、自治区、直辖市、计划单列市）预决算公开的公开率、及时性、完整性、细化程度、公开方式以及真实性等因素进行打分，并最终就当年上述地方的预决算公开度进行了客观的评价和排名。</w:t>
      </w:r>
    </w:p>
    <w:p w:rsidR="00244A26" w:rsidRPr="00244A26" w:rsidRDefault="00244A26" w:rsidP="00244A26">
      <w:pPr>
        <w:ind w:firstLineChars="200" w:firstLine="420"/>
        <w:rPr>
          <w:rFonts w:ascii="仿宋" w:eastAsia="仿宋" w:hAnsi="仿宋"/>
          <w:szCs w:val="24"/>
        </w:rPr>
      </w:pPr>
      <w:r w:rsidRPr="00244A26">
        <w:rPr>
          <w:rFonts w:ascii="仿宋" w:eastAsia="仿宋" w:hAnsi="仿宋" w:hint="eastAsia"/>
          <w:szCs w:val="24"/>
        </w:rPr>
        <w:t>两份报告一出，迅速受到了媒体的广泛关注，新浪网、网易网、</w:t>
      </w:r>
      <w:proofErr w:type="gramStart"/>
      <w:r w:rsidRPr="00244A26">
        <w:rPr>
          <w:rFonts w:ascii="仿宋" w:eastAsia="仿宋" w:hAnsi="仿宋" w:hint="eastAsia"/>
          <w:szCs w:val="24"/>
        </w:rPr>
        <w:t>腾讯网</w:t>
      </w:r>
      <w:proofErr w:type="gramEnd"/>
      <w:r w:rsidRPr="00244A26">
        <w:rPr>
          <w:rFonts w:ascii="仿宋" w:eastAsia="仿宋" w:hAnsi="仿宋" w:hint="eastAsia"/>
          <w:szCs w:val="24"/>
        </w:rPr>
        <w:t>、</w:t>
      </w:r>
      <w:proofErr w:type="gramStart"/>
      <w:r w:rsidRPr="00244A26">
        <w:rPr>
          <w:rFonts w:ascii="仿宋" w:eastAsia="仿宋" w:hAnsi="仿宋" w:hint="eastAsia"/>
          <w:szCs w:val="24"/>
        </w:rPr>
        <w:t>搜狐网等</w:t>
      </w:r>
      <w:proofErr w:type="gramEnd"/>
      <w:r w:rsidRPr="00244A26">
        <w:rPr>
          <w:rFonts w:ascii="仿宋" w:eastAsia="仿宋" w:hAnsi="仿宋" w:hint="eastAsia"/>
          <w:szCs w:val="24"/>
        </w:rPr>
        <w:t>主流门户</w:t>
      </w:r>
      <w:proofErr w:type="gramStart"/>
      <w:r w:rsidRPr="00244A26">
        <w:rPr>
          <w:rFonts w:ascii="仿宋" w:eastAsia="仿宋" w:hAnsi="仿宋" w:hint="eastAsia"/>
          <w:szCs w:val="24"/>
        </w:rPr>
        <w:t>网站均</w:t>
      </w:r>
      <w:proofErr w:type="gramEnd"/>
      <w:r w:rsidRPr="00244A26">
        <w:rPr>
          <w:rFonts w:ascii="仿宋" w:eastAsia="仿宋" w:hAnsi="仿宋" w:hint="eastAsia"/>
          <w:szCs w:val="24"/>
        </w:rPr>
        <w:t>对两份报告进行了报道</w:t>
      </w:r>
      <w:r w:rsidRPr="00244A26">
        <w:rPr>
          <w:rFonts w:ascii="仿宋" w:eastAsia="仿宋" w:hAnsi="仿宋"/>
          <w:szCs w:val="24"/>
          <w:vertAlign w:val="superscript"/>
        </w:rPr>
        <w:footnoteReference w:id="1"/>
      </w:r>
      <w:r w:rsidRPr="00244A26">
        <w:rPr>
          <w:rFonts w:ascii="仿宋" w:eastAsia="仿宋" w:hAnsi="仿宋" w:hint="eastAsia"/>
          <w:szCs w:val="24"/>
        </w:rPr>
        <w:t>。再加上今年8月份公布的清华大学公共管理学院公共经济、金融与治理研究中心《2017年中国市级政府财政透明度研究报告》，三份公开报告共同构成了监督促进我国财政透明化进程的重要舆论推手。舆论是促进改革的重要动力。有了专家学者、各家媒体与众多网民的共同监督，正视舆论监督下暴露出的不足与短板，我国财政透明化发展也能更加有力。</w:t>
      </w:r>
    </w:p>
    <w:p w:rsidR="00244A26" w:rsidRPr="00244A26" w:rsidRDefault="00244A26" w:rsidP="00244A26">
      <w:pPr>
        <w:ind w:firstLineChars="200" w:firstLine="420"/>
        <w:rPr>
          <w:rFonts w:ascii="仿宋" w:eastAsia="仿宋" w:hAnsi="仿宋"/>
          <w:szCs w:val="24"/>
        </w:rPr>
      </w:pPr>
      <w:r w:rsidRPr="00244A26">
        <w:rPr>
          <w:rFonts w:ascii="仿宋" w:eastAsia="仿宋" w:hAnsi="仿宋" w:hint="eastAsia"/>
          <w:szCs w:val="24"/>
        </w:rPr>
        <w:t>本</w:t>
      </w:r>
      <w:r w:rsidR="00D61D0D">
        <w:rPr>
          <w:rFonts w:ascii="仿宋" w:eastAsia="仿宋" w:hAnsi="仿宋" w:hint="eastAsia"/>
          <w:szCs w:val="24"/>
        </w:rPr>
        <w:t>研究</w:t>
      </w:r>
      <w:r w:rsidRPr="00244A26">
        <w:rPr>
          <w:rFonts w:ascii="仿宋" w:eastAsia="仿宋" w:hAnsi="仿宋" w:hint="eastAsia"/>
          <w:szCs w:val="24"/>
        </w:rPr>
        <w:t>将从这三份报告出发，详细分析此次“财政透明度”舆情的发展特征，介绍报告与民众各自如何影响了“财政透明度”相关舆情的发展变化，从而为新一年的财政透明化进程建言献策。</w:t>
      </w:r>
    </w:p>
    <w:p w:rsidR="00244A26" w:rsidRPr="00D61D0D" w:rsidRDefault="00244A26" w:rsidP="00244A26">
      <w:pPr>
        <w:pStyle w:val="2"/>
        <w:spacing w:before="0" w:after="0" w:line="240" w:lineRule="auto"/>
        <w:rPr>
          <w:rFonts w:ascii="仿宋" w:eastAsia="仿宋" w:hAnsi="仿宋"/>
          <w:b/>
          <w:sz w:val="28"/>
          <w:szCs w:val="28"/>
        </w:rPr>
      </w:pPr>
      <w:r w:rsidRPr="00D61D0D">
        <w:rPr>
          <w:rFonts w:ascii="仿宋" w:eastAsia="仿宋" w:hAnsi="仿宋" w:hint="eastAsia"/>
          <w:b/>
          <w:sz w:val="28"/>
          <w:szCs w:val="28"/>
        </w:rPr>
        <w:t>二、舆情发展生命周期</w:t>
      </w:r>
    </w:p>
    <w:p w:rsidR="00244A26" w:rsidRPr="00244A26" w:rsidRDefault="00244A26" w:rsidP="00244A26">
      <w:pPr>
        <w:ind w:firstLineChars="200" w:firstLine="420"/>
        <w:rPr>
          <w:rFonts w:ascii="仿宋" w:eastAsia="仿宋" w:hAnsi="仿宋"/>
          <w:szCs w:val="24"/>
        </w:rPr>
      </w:pPr>
      <w:r w:rsidRPr="00244A26">
        <w:rPr>
          <w:rFonts w:ascii="仿宋" w:eastAsia="仿宋" w:hAnsi="仿宋" w:hint="eastAsia"/>
          <w:szCs w:val="24"/>
        </w:rPr>
        <w:t>此次舆情整体上可以看作两个部分：一部分是“报告”本身代表的专家学者起到的舆论监督作用；另一部分是“报告”被新闻媒体报道后，网民在网络上做出评论，产生的第二层监督效应。利用“新浪微舆情”大数据工具</w:t>
      </w:r>
      <w:r w:rsidRPr="00244A26">
        <w:rPr>
          <w:rStyle w:val="af1"/>
          <w:rFonts w:ascii="仿宋" w:eastAsia="仿宋" w:hAnsi="仿宋" w:cs="Times New Roman"/>
          <w:sz w:val="24"/>
        </w:rPr>
        <w:footnoteReference w:id="2"/>
      </w:r>
      <w:r w:rsidRPr="00244A26">
        <w:rPr>
          <w:rFonts w:ascii="仿宋" w:eastAsia="仿宋" w:hAnsi="仿宋" w:hint="eastAsia"/>
          <w:szCs w:val="24"/>
        </w:rPr>
        <w:t>，我们对此次舆情进行了深入分析。文章的这个部分将整体分析“财政透明度”舆情在网络上的发展生命周期，从宏观角度探究此次舆情的特点。</w:t>
      </w:r>
    </w:p>
    <w:p w:rsidR="00244A26" w:rsidRPr="00244A26" w:rsidRDefault="00244A26" w:rsidP="00244A26">
      <w:pPr>
        <w:widowControl/>
        <w:ind w:firstLineChars="200" w:firstLine="422"/>
        <w:jc w:val="left"/>
        <w:rPr>
          <w:rFonts w:ascii="仿宋" w:eastAsia="仿宋" w:hAnsi="仿宋"/>
          <w:b/>
          <w:szCs w:val="28"/>
        </w:rPr>
      </w:pPr>
      <w:r w:rsidRPr="00244A26">
        <w:rPr>
          <w:rFonts w:ascii="仿宋" w:eastAsia="仿宋" w:hAnsi="仿宋" w:hint="eastAsia"/>
          <w:b/>
          <w:szCs w:val="28"/>
        </w:rPr>
        <w:t>（一）舆情热度概览：上</w:t>
      </w:r>
      <w:proofErr w:type="gramStart"/>
      <w:r w:rsidRPr="00244A26">
        <w:rPr>
          <w:rFonts w:ascii="仿宋" w:eastAsia="仿宋" w:hAnsi="仿宋" w:hint="eastAsia"/>
          <w:b/>
          <w:szCs w:val="28"/>
        </w:rPr>
        <w:t>财报告</w:t>
      </w:r>
      <w:proofErr w:type="gramEnd"/>
      <w:r w:rsidRPr="00244A26">
        <w:rPr>
          <w:rFonts w:ascii="仿宋" w:eastAsia="仿宋" w:hAnsi="仿宋" w:hint="eastAsia"/>
          <w:b/>
          <w:szCs w:val="28"/>
        </w:rPr>
        <w:t>更受网络关注</w:t>
      </w:r>
    </w:p>
    <w:p w:rsidR="00244A26" w:rsidRDefault="00244A26" w:rsidP="00244A26">
      <w:pPr>
        <w:ind w:firstLineChars="200" w:firstLine="420"/>
        <w:rPr>
          <w:rFonts w:ascii="仿宋" w:eastAsia="仿宋" w:hAnsi="仿宋"/>
          <w:szCs w:val="24"/>
        </w:rPr>
      </w:pPr>
      <w:r w:rsidRPr="00244A26">
        <w:rPr>
          <w:rFonts w:ascii="仿宋" w:eastAsia="仿宋" w:hAnsi="仿宋" w:hint="eastAsia"/>
          <w:szCs w:val="24"/>
        </w:rPr>
        <w:t>此次“财政透明度”舆情在网络上掀起了一阵热议，但总体上看热度并不算很高。在</w:t>
      </w:r>
      <w:r w:rsidRPr="00244A26">
        <w:rPr>
          <w:rFonts w:ascii="仿宋" w:eastAsia="仿宋" w:hAnsi="仿宋"/>
          <w:szCs w:val="24"/>
        </w:rPr>
        <w:t>2017年11月25日到2018年1月5日共42天的时间内，以“财政透明度”为关键词的舆情热度总计达到0.23，在百分制满分的评价体系下并不算高。而具体信息量上的数据则</w:t>
      </w:r>
      <w:proofErr w:type="gramStart"/>
      <w:r w:rsidRPr="00244A26">
        <w:rPr>
          <w:rFonts w:ascii="仿宋" w:eastAsia="仿宋" w:hAnsi="仿宋"/>
          <w:szCs w:val="24"/>
        </w:rPr>
        <w:t>显示微博网民</w:t>
      </w:r>
      <w:proofErr w:type="gramEnd"/>
      <w:r w:rsidRPr="00244A26">
        <w:rPr>
          <w:rFonts w:ascii="仿宋" w:eastAsia="仿宋" w:hAnsi="仿宋"/>
          <w:szCs w:val="24"/>
        </w:rPr>
        <w:t>关注了财政透明度，共有1417人次的网民在</w:t>
      </w:r>
      <w:proofErr w:type="gramStart"/>
      <w:r w:rsidRPr="00244A26">
        <w:rPr>
          <w:rFonts w:ascii="仿宋" w:eastAsia="仿宋" w:hAnsi="仿宋"/>
          <w:szCs w:val="24"/>
        </w:rPr>
        <w:t>微博上</w:t>
      </w:r>
      <w:proofErr w:type="gramEnd"/>
      <w:r w:rsidRPr="00244A26">
        <w:rPr>
          <w:rFonts w:ascii="仿宋" w:eastAsia="仿宋" w:hAnsi="仿宋"/>
          <w:szCs w:val="24"/>
        </w:rPr>
        <w:t>就相关话题发表了自己看法。</w:t>
      </w:r>
    </w:p>
    <w:p w:rsidR="00244A26" w:rsidRPr="00244A26" w:rsidRDefault="00D61D0D" w:rsidP="00244A26">
      <w:pPr>
        <w:jc w:val="center"/>
        <w:rPr>
          <w:rFonts w:ascii="仿宋" w:eastAsia="仿宋" w:hAnsi="仿宋"/>
          <w:szCs w:val="24"/>
        </w:rPr>
      </w:pPr>
      <w:r w:rsidRPr="00244A26">
        <w:rPr>
          <w:rFonts w:ascii="仿宋" w:eastAsia="仿宋" w:hAnsi="仿宋"/>
          <w:noProof/>
          <w:szCs w:val="24"/>
        </w:rPr>
        <w:lastRenderedPageBreak/>
        <w:drawing>
          <wp:anchor distT="0" distB="0" distL="114300" distR="114300" simplePos="0" relativeHeight="251684352" behindDoc="0" locked="0" layoutInCell="1" allowOverlap="1" wp14:anchorId="16A28F74" wp14:editId="756600AC">
            <wp:simplePos x="0" y="0"/>
            <wp:positionH relativeFrom="column">
              <wp:posOffset>0</wp:posOffset>
            </wp:positionH>
            <wp:positionV relativeFrom="paragraph">
              <wp:posOffset>196850</wp:posOffset>
            </wp:positionV>
            <wp:extent cx="5207000" cy="151765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0" cy="1517650"/>
                    </a:xfrm>
                    <a:prstGeom prst="rect">
                      <a:avLst/>
                    </a:prstGeom>
                  </pic:spPr>
                </pic:pic>
              </a:graphicData>
            </a:graphic>
            <wp14:sizeRelH relativeFrom="page">
              <wp14:pctWidth>0</wp14:pctWidth>
            </wp14:sizeRelH>
            <wp14:sizeRelV relativeFrom="page">
              <wp14:pctHeight>0</wp14:pctHeight>
            </wp14:sizeRelV>
          </wp:anchor>
        </w:drawing>
      </w:r>
      <w:r w:rsidR="00244A26" w:rsidRPr="00244A26">
        <w:rPr>
          <w:rFonts w:ascii="仿宋" w:eastAsia="仿宋" w:hAnsi="仿宋" w:hint="eastAsia"/>
          <w:szCs w:val="24"/>
        </w:rPr>
        <w:t>图</w:t>
      </w:r>
      <w:r>
        <w:rPr>
          <w:rFonts w:ascii="仿宋" w:eastAsia="仿宋" w:hAnsi="仿宋" w:hint="eastAsia"/>
          <w:szCs w:val="24"/>
        </w:rPr>
        <w:t>1</w:t>
      </w:r>
      <w:r w:rsidR="00A670FC">
        <w:rPr>
          <w:rFonts w:ascii="仿宋" w:eastAsia="仿宋" w:hAnsi="仿宋"/>
          <w:szCs w:val="24"/>
        </w:rPr>
        <w:t xml:space="preserve"> </w:t>
      </w:r>
      <w:r w:rsidR="00244A26" w:rsidRPr="00244A26">
        <w:rPr>
          <w:rFonts w:ascii="仿宋" w:eastAsia="仿宋" w:hAnsi="仿宋" w:hint="eastAsia"/>
          <w:szCs w:val="24"/>
        </w:rPr>
        <w:t>舆情热度概览</w:t>
      </w:r>
    </w:p>
    <w:p w:rsidR="00A670FC" w:rsidRDefault="00A670FC" w:rsidP="00244A26">
      <w:pPr>
        <w:ind w:firstLineChars="200" w:firstLine="420"/>
        <w:rPr>
          <w:rFonts w:ascii="仿宋" w:eastAsia="仿宋" w:hAnsi="仿宋"/>
          <w:szCs w:val="24"/>
        </w:rPr>
      </w:pPr>
    </w:p>
    <w:p w:rsidR="00244A26" w:rsidRPr="00244A26" w:rsidRDefault="00D61D0D" w:rsidP="00244A26">
      <w:pPr>
        <w:ind w:firstLineChars="200" w:firstLine="420"/>
        <w:rPr>
          <w:rFonts w:ascii="仿宋" w:eastAsia="仿宋" w:hAnsi="仿宋"/>
          <w:szCs w:val="24"/>
        </w:rPr>
      </w:pPr>
      <w:r w:rsidRPr="00244A26">
        <w:rPr>
          <w:rFonts w:ascii="仿宋" w:eastAsia="仿宋" w:hAnsi="仿宋" w:hint="eastAsia"/>
          <w:noProof/>
          <w:szCs w:val="24"/>
        </w:rPr>
        <w:drawing>
          <wp:anchor distT="0" distB="0" distL="114300" distR="114300" simplePos="0" relativeHeight="251656704" behindDoc="0" locked="0" layoutInCell="1" allowOverlap="1" wp14:anchorId="67F266B4" wp14:editId="595AF0BD">
            <wp:simplePos x="0" y="0"/>
            <wp:positionH relativeFrom="column">
              <wp:posOffset>76200</wp:posOffset>
            </wp:positionH>
            <wp:positionV relativeFrom="paragraph">
              <wp:posOffset>1274445</wp:posOffset>
            </wp:positionV>
            <wp:extent cx="5194300" cy="1601470"/>
            <wp:effectExtent l="0" t="0" r="635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热度变化.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4300" cy="1601470"/>
                    </a:xfrm>
                    <a:prstGeom prst="rect">
                      <a:avLst/>
                    </a:prstGeom>
                  </pic:spPr>
                </pic:pic>
              </a:graphicData>
            </a:graphic>
            <wp14:sizeRelH relativeFrom="page">
              <wp14:pctWidth>0</wp14:pctWidth>
            </wp14:sizeRelH>
            <wp14:sizeRelV relativeFrom="page">
              <wp14:pctHeight>0</wp14:pctHeight>
            </wp14:sizeRelV>
          </wp:anchor>
        </w:drawing>
      </w:r>
      <w:r w:rsidR="00244A26" w:rsidRPr="00244A26">
        <w:rPr>
          <w:rFonts w:ascii="仿宋" w:eastAsia="仿宋" w:hAnsi="仿宋" w:hint="eastAsia"/>
          <w:szCs w:val="24"/>
        </w:rPr>
        <w:t>而热度变化数据则显示此次舆情存在一个明显的高峰期。</w:t>
      </w:r>
      <w:r w:rsidR="00244A26" w:rsidRPr="00244A26">
        <w:rPr>
          <w:rFonts w:ascii="仿宋" w:eastAsia="仿宋" w:hAnsi="仿宋"/>
          <w:szCs w:val="24"/>
        </w:rPr>
        <w:t>11月26日《2017中国财政透明度报告》发布后，相关舆情热度迅速攀升，并在27日达到峰值。可以看出，专业报告的发布确实引起了网络对财政透明的关注，起到了专家监督引领民众监督的作用。而12月底财政部发布的《2016地方预决算公开度排行榜》则没有引起明显的热度高潮，一方面这是由于其关键词“公开度”和“透明度”有所差异导致数据上不显著，另一方面也侧面反应出后者的热度没有前一份报告要高。</w:t>
      </w:r>
    </w:p>
    <w:p w:rsidR="00244A26" w:rsidRPr="00244A26" w:rsidRDefault="00244A26" w:rsidP="00244A26">
      <w:pPr>
        <w:jc w:val="center"/>
        <w:rPr>
          <w:rFonts w:ascii="仿宋" w:eastAsia="仿宋" w:hAnsi="仿宋"/>
          <w:szCs w:val="24"/>
        </w:rPr>
      </w:pPr>
      <w:r w:rsidRPr="00244A26">
        <w:rPr>
          <w:rFonts w:ascii="仿宋" w:eastAsia="仿宋" w:hAnsi="仿宋" w:hint="eastAsia"/>
          <w:szCs w:val="24"/>
        </w:rPr>
        <w:t>图2</w:t>
      </w:r>
      <w:r w:rsidR="00A670FC">
        <w:rPr>
          <w:rFonts w:ascii="仿宋" w:eastAsia="仿宋" w:hAnsi="仿宋"/>
          <w:szCs w:val="24"/>
        </w:rPr>
        <w:t xml:space="preserve"> </w:t>
      </w:r>
      <w:r w:rsidRPr="00244A26">
        <w:rPr>
          <w:rFonts w:ascii="仿宋" w:eastAsia="仿宋" w:hAnsi="仿宋" w:hint="eastAsia"/>
          <w:szCs w:val="24"/>
        </w:rPr>
        <w:t>舆情热度走向</w:t>
      </w:r>
    </w:p>
    <w:p w:rsidR="00A670FC" w:rsidRDefault="00A670FC" w:rsidP="00244A26">
      <w:pPr>
        <w:widowControl/>
        <w:ind w:firstLineChars="200" w:firstLine="422"/>
        <w:jc w:val="left"/>
        <w:rPr>
          <w:rFonts w:ascii="仿宋" w:eastAsia="仿宋" w:hAnsi="仿宋"/>
          <w:b/>
          <w:szCs w:val="28"/>
        </w:rPr>
      </w:pPr>
    </w:p>
    <w:p w:rsidR="00244A26" w:rsidRPr="00244A26" w:rsidRDefault="00244A26" w:rsidP="00244A26">
      <w:pPr>
        <w:widowControl/>
        <w:ind w:firstLineChars="200" w:firstLine="422"/>
        <w:jc w:val="left"/>
        <w:rPr>
          <w:rFonts w:ascii="仿宋" w:eastAsia="仿宋" w:hAnsi="仿宋"/>
          <w:b/>
          <w:szCs w:val="28"/>
        </w:rPr>
      </w:pPr>
      <w:r w:rsidRPr="00244A26">
        <w:rPr>
          <w:rFonts w:ascii="仿宋" w:eastAsia="仿宋" w:hAnsi="仿宋" w:hint="eastAsia"/>
          <w:b/>
          <w:szCs w:val="28"/>
        </w:rPr>
        <w:t>（二）舆情媒体友好度：相关舆论影响正面</w:t>
      </w:r>
    </w:p>
    <w:p w:rsidR="00244A26" w:rsidRPr="00244A26" w:rsidRDefault="00D61D0D" w:rsidP="00244A26">
      <w:pPr>
        <w:ind w:firstLine="420"/>
        <w:rPr>
          <w:rFonts w:ascii="仿宋" w:eastAsia="仿宋" w:hAnsi="仿宋"/>
          <w:szCs w:val="24"/>
        </w:rPr>
      </w:pPr>
      <w:r w:rsidRPr="00244A26">
        <w:rPr>
          <w:rFonts w:ascii="仿宋" w:eastAsia="仿宋" w:hAnsi="仿宋"/>
          <w:noProof/>
        </w:rPr>
        <w:drawing>
          <wp:anchor distT="0" distB="0" distL="114300" distR="114300" simplePos="0" relativeHeight="251672064" behindDoc="0" locked="0" layoutInCell="1" allowOverlap="1" wp14:anchorId="051DC1C4" wp14:editId="619F27F6">
            <wp:simplePos x="0" y="0"/>
            <wp:positionH relativeFrom="column">
              <wp:posOffset>317500</wp:posOffset>
            </wp:positionH>
            <wp:positionV relativeFrom="paragraph">
              <wp:posOffset>1048385</wp:posOffset>
            </wp:positionV>
            <wp:extent cx="4381500" cy="1473200"/>
            <wp:effectExtent l="0" t="0" r="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0" cy="14732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244A26" w:rsidRPr="00244A26">
        <w:rPr>
          <w:rFonts w:ascii="仿宋" w:eastAsia="仿宋" w:hAnsi="仿宋" w:hint="eastAsia"/>
          <w:szCs w:val="24"/>
        </w:rPr>
        <w:t>微博和</w:t>
      </w:r>
      <w:proofErr w:type="gramEnd"/>
      <w:r w:rsidR="00244A26" w:rsidRPr="00244A26">
        <w:rPr>
          <w:rFonts w:ascii="仿宋" w:eastAsia="仿宋" w:hAnsi="仿宋" w:hint="eastAsia"/>
          <w:szCs w:val="24"/>
        </w:rPr>
        <w:t>媒体网站是此次舆情的主力，分别占到了40.01%和20.64%，加起来超过一半。而此次舆情最突出的特征则是媒体友好度</w:t>
      </w:r>
      <w:r w:rsidR="00244A26" w:rsidRPr="00244A26">
        <w:rPr>
          <w:rStyle w:val="af1"/>
          <w:rFonts w:ascii="仿宋" w:eastAsia="仿宋" w:hAnsi="仿宋" w:cs="Times New Roman"/>
          <w:sz w:val="24"/>
        </w:rPr>
        <w:footnoteReference w:id="3"/>
      </w:r>
      <w:r w:rsidR="00244A26" w:rsidRPr="00244A26">
        <w:rPr>
          <w:rFonts w:ascii="仿宋" w:eastAsia="仿宋" w:hAnsi="仿宋" w:hint="eastAsia"/>
          <w:szCs w:val="24"/>
        </w:rPr>
        <w:t>高。从以网站、客户端为代表的主流媒体报道到以微博、微信、论坛为代表的网民意见表达，都达到了80%以上的友好度，平均近90%。这体现出舆论中的情感宣泄因素较少，相关舆论影响正面。可以说年末公布的这两份报告在网络上产生了正面的社会影响，积极引导了网民关注财政透明化，理解财政透明化。</w:t>
      </w:r>
    </w:p>
    <w:p w:rsidR="00D61D0D" w:rsidRPr="00D61D0D" w:rsidRDefault="00D61D0D" w:rsidP="00D61D0D">
      <w:pPr>
        <w:widowControl/>
        <w:jc w:val="center"/>
        <w:rPr>
          <w:rFonts w:ascii="仿宋" w:eastAsia="仿宋" w:hAnsi="仿宋"/>
          <w:b/>
          <w:szCs w:val="28"/>
        </w:rPr>
      </w:pPr>
      <w:r w:rsidRPr="00D61D0D">
        <w:rPr>
          <w:rFonts w:ascii="仿宋" w:eastAsia="仿宋" w:hAnsi="仿宋" w:hint="eastAsia"/>
          <w:szCs w:val="24"/>
        </w:rPr>
        <w:t>图</w:t>
      </w:r>
      <w:r>
        <w:rPr>
          <w:rFonts w:ascii="仿宋" w:eastAsia="仿宋" w:hAnsi="仿宋" w:hint="eastAsia"/>
          <w:szCs w:val="24"/>
        </w:rPr>
        <w:t>3</w:t>
      </w:r>
      <w:r w:rsidR="00A670FC">
        <w:rPr>
          <w:rFonts w:ascii="仿宋" w:eastAsia="仿宋" w:hAnsi="仿宋"/>
          <w:szCs w:val="24"/>
        </w:rPr>
        <w:t xml:space="preserve"> </w:t>
      </w:r>
      <w:r w:rsidRPr="00D61D0D">
        <w:rPr>
          <w:rFonts w:ascii="仿宋" w:eastAsia="仿宋" w:hAnsi="仿宋"/>
          <w:szCs w:val="24"/>
        </w:rPr>
        <w:t>舆情媒体要素</w:t>
      </w:r>
    </w:p>
    <w:p w:rsidR="00244A26" w:rsidRPr="00244A26" w:rsidRDefault="00244A26" w:rsidP="00244A26">
      <w:pPr>
        <w:widowControl/>
        <w:ind w:firstLineChars="200" w:firstLine="422"/>
        <w:jc w:val="left"/>
        <w:rPr>
          <w:rFonts w:ascii="仿宋" w:eastAsia="仿宋" w:hAnsi="仿宋"/>
          <w:b/>
          <w:szCs w:val="28"/>
        </w:rPr>
      </w:pPr>
      <w:r w:rsidRPr="00244A26">
        <w:rPr>
          <w:rFonts w:ascii="仿宋" w:eastAsia="仿宋" w:hAnsi="仿宋" w:hint="eastAsia"/>
          <w:b/>
          <w:szCs w:val="28"/>
        </w:rPr>
        <w:lastRenderedPageBreak/>
        <w:t>（三）舆情地域分布</w:t>
      </w:r>
      <w:r w:rsidRPr="00244A26">
        <w:rPr>
          <w:rStyle w:val="af1"/>
          <w:rFonts w:ascii="仿宋" w:eastAsia="仿宋" w:hAnsi="仿宋" w:cs="Times New Roman"/>
          <w:sz w:val="24"/>
        </w:rPr>
        <w:footnoteReference w:id="4"/>
      </w:r>
      <w:r w:rsidRPr="00244A26">
        <w:rPr>
          <w:rFonts w:ascii="仿宋" w:eastAsia="仿宋" w:hAnsi="仿宋" w:hint="eastAsia"/>
          <w:b/>
          <w:szCs w:val="28"/>
        </w:rPr>
        <w:t>：北京地区独占鳌头</w:t>
      </w:r>
    </w:p>
    <w:p w:rsidR="00244A26" w:rsidRPr="00244A26" w:rsidRDefault="00D61D0D" w:rsidP="00244A26">
      <w:pPr>
        <w:ind w:firstLineChars="200" w:firstLine="420"/>
        <w:rPr>
          <w:rFonts w:ascii="仿宋" w:eastAsia="仿宋" w:hAnsi="仿宋"/>
          <w:szCs w:val="24"/>
        </w:rPr>
      </w:pPr>
      <w:r w:rsidRPr="00244A26">
        <w:rPr>
          <w:rFonts w:ascii="仿宋" w:eastAsia="仿宋" w:hAnsi="仿宋" w:hint="eastAsia"/>
          <w:noProof/>
        </w:rPr>
        <w:drawing>
          <wp:anchor distT="0" distB="0" distL="114300" distR="114300" simplePos="0" relativeHeight="251674112" behindDoc="0" locked="0" layoutInCell="1" allowOverlap="1" wp14:anchorId="65B62DC9" wp14:editId="19075EF9">
            <wp:simplePos x="0" y="0"/>
            <wp:positionH relativeFrom="column">
              <wp:posOffset>247650</wp:posOffset>
            </wp:positionH>
            <wp:positionV relativeFrom="paragraph">
              <wp:posOffset>1421130</wp:posOffset>
            </wp:positionV>
            <wp:extent cx="4902200" cy="2400300"/>
            <wp:effectExtent l="0" t="0" r="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地域分析.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02200" cy="2400300"/>
                    </a:xfrm>
                    <a:prstGeom prst="rect">
                      <a:avLst/>
                    </a:prstGeom>
                  </pic:spPr>
                </pic:pic>
              </a:graphicData>
            </a:graphic>
            <wp14:sizeRelH relativeFrom="page">
              <wp14:pctWidth>0</wp14:pctWidth>
            </wp14:sizeRelH>
            <wp14:sizeRelV relativeFrom="page">
              <wp14:pctHeight>0</wp14:pctHeight>
            </wp14:sizeRelV>
          </wp:anchor>
        </w:drawing>
      </w:r>
      <w:r w:rsidR="00244A26" w:rsidRPr="00244A26">
        <w:rPr>
          <w:rFonts w:ascii="仿宋" w:eastAsia="仿宋" w:hAnsi="仿宋" w:hint="eastAsia"/>
          <w:szCs w:val="24"/>
        </w:rPr>
        <w:t>北京网民对政府话题一贯有着较高的关注度，此次舆情中亦呈现出这一特征。北京地区的相关舆情声量遥遥领先其它地区，接近</w:t>
      </w:r>
      <w:r w:rsidR="00244A26" w:rsidRPr="00244A26">
        <w:rPr>
          <w:rFonts w:ascii="仿宋" w:eastAsia="仿宋" w:hAnsi="仿宋"/>
          <w:szCs w:val="24"/>
        </w:rPr>
        <w:t>1000；广东位居其次，接近500；山东名列第三，将近400，其余地区声量均不到200。北京和广东舆情声量大一方面是由于其网民基数大，另一方面也是由于其排名仅位居中游，未能达到网民期待。如</w:t>
      </w:r>
      <w:proofErr w:type="gramStart"/>
      <w:r w:rsidR="00244A26" w:rsidRPr="00244A26">
        <w:rPr>
          <w:rFonts w:ascii="仿宋" w:eastAsia="仿宋" w:hAnsi="仿宋"/>
          <w:szCs w:val="24"/>
        </w:rPr>
        <w:t>腾讯网</w:t>
      </w:r>
      <w:proofErr w:type="gramEnd"/>
      <w:r w:rsidR="00244A26" w:rsidRPr="00244A26">
        <w:rPr>
          <w:rFonts w:ascii="仿宋" w:eastAsia="仿宋" w:hAnsi="仿宋"/>
          <w:szCs w:val="24"/>
        </w:rPr>
        <w:t>相关报道中就提及：“财政收入比较高的省份排名并没有想象的高，比如上海得分55.9分排名10，江苏55.1分，排名11，广东52.8分排名14</w:t>
      </w:r>
      <w:r w:rsidR="00244A26" w:rsidRPr="00244A26">
        <w:rPr>
          <w:rFonts w:ascii="仿宋" w:eastAsia="仿宋" w:hAnsi="仿宋" w:hint="eastAsia"/>
          <w:szCs w:val="24"/>
        </w:rPr>
        <w:t>。”</w:t>
      </w:r>
      <w:r w:rsidR="00244A26" w:rsidRPr="00244A26">
        <w:rPr>
          <w:rStyle w:val="af1"/>
          <w:rFonts w:ascii="仿宋" w:eastAsia="仿宋" w:hAnsi="仿宋" w:cs="Times New Roman"/>
          <w:sz w:val="24"/>
        </w:rPr>
        <w:footnoteReference w:id="5"/>
      </w:r>
      <w:r w:rsidR="00244A26" w:rsidRPr="00244A26">
        <w:rPr>
          <w:rFonts w:ascii="仿宋" w:eastAsia="仿宋" w:hAnsi="仿宋"/>
          <w:szCs w:val="24"/>
        </w:rPr>
        <w:t>而山东地区舆情声量大则主要由于山东省在两份榜单中</w:t>
      </w:r>
      <w:proofErr w:type="gramStart"/>
      <w:r w:rsidR="00244A26" w:rsidRPr="00244A26">
        <w:rPr>
          <w:rFonts w:ascii="仿宋" w:eastAsia="仿宋" w:hAnsi="仿宋"/>
          <w:szCs w:val="24"/>
        </w:rPr>
        <w:t>均位距</w:t>
      </w:r>
      <w:proofErr w:type="gramEnd"/>
      <w:r w:rsidR="00244A26" w:rsidRPr="00244A26">
        <w:rPr>
          <w:rFonts w:ascii="仿宋" w:eastAsia="仿宋" w:hAnsi="仿宋"/>
          <w:szCs w:val="24"/>
        </w:rPr>
        <w:t>前两位</w:t>
      </w:r>
      <w:r w:rsidR="00244A26" w:rsidRPr="00244A26">
        <w:rPr>
          <w:rFonts w:ascii="仿宋" w:eastAsia="仿宋" w:hAnsi="仿宋" w:hint="eastAsia"/>
          <w:szCs w:val="24"/>
        </w:rPr>
        <w:t>，频繁出现在相关微博、门户网站报道中，引发了山东网民和地方媒体大量关注。</w:t>
      </w:r>
    </w:p>
    <w:p w:rsidR="00244A26" w:rsidRPr="00244A26" w:rsidRDefault="00244A26" w:rsidP="00244A26">
      <w:pPr>
        <w:jc w:val="center"/>
        <w:rPr>
          <w:rFonts w:ascii="仿宋" w:eastAsia="仿宋" w:hAnsi="仿宋"/>
          <w:szCs w:val="24"/>
        </w:rPr>
      </w:pPr>
      <w:r w:rsidRPr="00244A26">
        <w:rPr>
          <w:rFonts w:ascii="仿宋" w:eastAsia="仿宋" w:hAnsi="仿宋" w:hint="eastAsia"/>
          <w:szCs w:val="24"/>
        </w:rPr>
        <w:t>图</w:t>
      </w:r>
      <w:r w:rsidR="00D61D0D">
        <w:rPr>
          <w:rFonts w:ascii="仿宋" w:eastAsia="仿宋" w:hAnsi="仿宋" w:hint="eastAsia"/>
          <w:szCs w:val="24"/>
        </w:rPr>
        <w:t>4</w:t>
      </w:r>
      <w:r w:rsidR="00A670FC">
        <w:rPr>
          <w:rFonts w:ascii="仿宋" w:eastAsia="仿宋" w:hAnsi="仿宋"/>
          <w:szCs w:val="24"/>
        </w:rPr>
        <w:t xml:space="preserve"> </w:t>
      </w:r>
      <w:r w:rsidRPr="00244A26">
        <w:rPr>
          <w:rFonts w:ascii="仿宋" w:eastAsia="仿宋" w:hAnsi="仿宋"/>
          <w:szCs w:val="24"/>
        </w:rPr>
        <w:t>舆情地域分布情况</w:t>
      </w:r>
    </w:p>
    <w:p w:rsidR="00244A26" w:rsidRPr="00244A26" w:rsidRDefault="00244A26" w:rsidP="00244A26">
      <w:pPr>
        <w:rPr>
          <w:rFonts w:ascii="仿宋" w:eastAsia="仿宋" w:hAnsi="仿宋"/>
          <w:szCs w:val="24"/>
        </w:rPr>
      </w:pPr>
    </w:p>
    <w:p w:rsidR="00244A26" w:rsidRPr="00244A26" w:rsidRDefault="00244A26" w:rsidP="00244A26">
      <w:pPr>
        <w:ind w:firstLineChars="200" w:firstLine="420"/>
        <w:rPr>
          <w:rFonts w:ascii="仿宋" w:eastAsia="仿宋" w:hAnsi="仿宋"/>
          <w:szCs w:val="24"/>
        </w:rPr>
      </w:pPr>
      <w:r w:rsidRPr="00244A26">
        <w:rPr>
          <w:rFonts w:ascii="仿宋" w:eastAsia="仿宋" w:hAnsi="仿宋" w:hint="eastAsia"/>
          <w:szCs w:val="24"/>
        </w:rPr>
        <w:t>令人意外的是，尽管上海在财政部榜单中拔得头筹，且</w:t>
      </w:r>
      <w:proofErr w:type="gramStart"/>
      <w:r w:rsidRPr="00244A26">
        <w:rPr>
          <w:rFonts w:ascii="仿宋" w:eastAsia="仿宋" w:hAnsi="仿宋" w:hint="eastAsia"/>
          <w:szCs w:val="24"/>
        </w:rPr>
        <w:t>上财版榜单</w:t>
      </w:r>
      <w:proofErr w:type="gramEnd"/>
      <w:r w:rsidRPr="00244A26">
        <w:rPr>
          <w:rFonts w:ascii="仿宋" w:eastAsia="仿宋" w:hAnsi="仿宋" w:hint="eastAsia"/>
          <w:szCs w:val="24"/>
        </w:rPr>
        <w:t>亦在上海发布，但上海地区相关舆情声量却并不突出。因此，一方面上海网民对于财政透明问题的关注仍需提升，另一方面相关研究报告的在地化宣传亦需加强，专家监督应当更好地与民众监督相结合，让财政透明化的观念深入人心。</w:t>
      </w:r>
    </w:p>
    <w:p w:rsidR="00244A26" w:rsidRPr="00244A26" w:rsidRDefault="00244A26" w:rsidP="00244A26">
      <w:pPr>
        <w:widowControl/>
        <w:ind w:firstLineChars="200" w:firstLine="420"/>
        <w:jc w:val="left"/>
        <w:rPr>
          <w:rFonts w:ascii="仿宋" w:eastAsia="仿宋" w:hAnsi="仿宋"/>
          <w:b/>
          <w:szCs w:val="28"/>
        </w:rPr>
      </w:pPr>
      <w:r w:rsidRPr="00244A26">
        <w:rPr>
          <w:rFonts w:ascii="仿宋" w:eastAsia="仿宋" w:hAnsi="仿宋"/>
          <w:noProof/>
          <w:szCs w:val="24"/>
        </w:rPr>
        <w:drawing>
          <wp:anchor distT="0" distB="0" distL="114300" distR="114300" simplePos="0" relativeHeight="251682304" behindDoc="0" locked="0" layoutInCell="1" allowOverlap="1" wp14:anchorId="017C2DE2" wp14:editId="13F8F020">
            <wp:simplePos x="0" y="0"/>
            <wp:positionH relativeFrom="column">
              <wp:posOffset>171450</wp:posOffset>
            </wp:positionH>
            <wp:positionV relativeFrom="paragraph">
              <wp:posOffset>372110</wp:posOffset>
            </wp:positionV>
            <wp:extent cx="4959350" cy="2032000"/>
            <wp:effectExtent l="0" t="0" r="0" b="635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9350" cy="2032000"/>
                    </a:xfrm>
                    <a:prstGeom prst="rect">
                      <a:avLst/>
                    </a:prstGeom>
                    <a:noFill/>
                  </pic:spPr>
                </pic:pic>
              </a:graphicData>
            </a:graphic>
            <wp14:sizeRelH relativeFrom="page">
              <wp14:pctWidth>0</wp14:pctWidth>
            </wp14:sizeRelH>
            <wp14:sizeRelV relativeFrom="page">
              <wp14:pctHeight>0</wp14:pctHeight>
            </wp14:sizeRelV>
          </wp:anchor>
        </w:drawing>
      </w:r>
      <w:r w:rsidRPr="00244A26">
        <w:rPr>
          <w:rFonts w:ascii="仿宋" w:eastAsia="仿宋" w:hAnsi="仿宋" w:hint="eastAsia"/>
          <w:b/>
          <w:szCs w:val="28"/>
        </w:rPr>
        <w:t>（四）舆情关键词：透明度与地方债</w:t>
      </w:r>
    </w:p>
    <w:p w:rsidR="00244A26" w:rsidRPr="00244A26" w:rsidRDefault="00244A26" w:rsidP="00244A26">
      <w:pPr>
        <w:ind w:firstLine="420"/>
        <w:jc w:val="center"/>
        <w:rPr>
          <w:rFonts w:ascii="仿宋" w:eastAsia="仿宋" w:hAnsi="仿宋"/>
          <w:szCs w:val="24"/>
        </w:rPr>
      </w:pPr>
      <w:r w:rsidRPr="00244A26">
        <w:rPr>
          <w:rFonts w:ascii="仿宋" w:eastAsia="仿宋" w:hAnsi="仿宋" w:hint="eastAsia"/>
          <w:szCs w:val="24"/>
        </w:rPr>
        <w:t>图</w:t>
      </w:r>
      <w:r w:rsidR="00A670FC">
        <w:rPr>
          <w:rFonts w:ascii="仿宋" w:eastAsia="仿宋" w:hAnsi="仿宋" w:hint="eastAsia"/>
          <w:szCs w:val="24"/>
        </w:rPr>
        <w:t>5</w:t>
      </w:r>
      <w:r w:rsidRPr="00244A26">
        <w:rPr>
          <w:rFonts w:ascii="仿宋" w:eastAsia="仿宋" w:hAnsi="仿宋" w:hint="eastAsia"/>
          <w:szCs w:val="24"/>
        </w:rPr>
        <w:t xml:space="preserve"> </w:t>
      </w:r>
      <w:r w:rsidRPr="00244A26">
        <w:rPr>
          <w:rFonts w:ascii="仿宋" w:eastAsia="仿宋" w:hAnsi="仿宋"/>
          <w:szCs w:val="24"/>
        </w:rPr>
        <w:t>舆情关键词</w:t>
      </w:r>
    </w:p>
    <w:p w:rsidR="00A670FC" w:rsidRDefault="00A670FC" w:rsidP="00244A26">
      <w:pPr>
        <w:ind w:firstLine="420"/>
        <w:rPr>
          <w:rFonts w:ascii="仿宋" w:eastAsia="仿宋" w:hAnsi="仿宋"/>
          <w:szCs w:val="24"/>
        </w:rPr>
      </w:pP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lastRenderedPageBreak/>
        <w:t>通过分析舆情主要关联词</w:t>
      </w:r>
      <w:r w:rsidRPr="00244A26">
        <w:rPr>
          <w:rStyle w:val="af1"/>
          <w:rFonts w:ascii="仿宋" w:eastAsia="仿宋" w:hAnsi="仿宋" w:cs="Times New Roman"/>
          <w:sz w:val="24"/>
        </w:rPr>
        <w:footnoteReference w:id="6"/>
      </w:r>
      <w:r w:rsidRPr="00244A26">
        <w:rPr>
          <w:rFonts w:ascii="仿宋" w:eastAsia="仿宋" w:hAnsi="仿宋"/>
          <w:szCs w:val="24"/>
        </w:rPr>
        <w:t>和关键词云</w:t>
      </w:r>
      <w:r w:rsidRPr="00244A26">
        <w:rPr>
          <w:rStyle w:val="af1"/>
          <w:rFonts w:ascii="仿宋" w:eastAsia="仿宋" w:hAnsi="仿宋" w:cs="Times New Roman"/>
          <w:sz w:val="24"/>
        </w:rPr>
        <w:footnoteReference w:id="7"/>
      </w:r>
      <w:r w:rsidRPr="00244A26">
        <w:rPr>
          <w:rFonts w:ascii="仿宋" w:eastAsia="仿宋" w:hAnsi="仿宋"/>
          <w:szCs w:val="24"/>
        </w:rPr>
        <w:t>，我们找到了此次舆情的两大核心关注点：透明度和地方债。当舆论谈及财政这个核心词汇时，透明度是共同出现最多的词汇，此外信息、公开等词汇也有较高的出现频率。这体现了财政透明、信息公开是最受舆论关注的核心话题。而当舆论由此引申，进行财政透明基础上的话题讨论时，地方负债则是另一大核心要素。负债一词出现频率高，在关键词云中的字号最大。这反映了在信息公开透明背后，舆论真正关心的是地方政府的负债问题，希望借地方财政透明化之际，厘清当前有些扑朔迷离的地方债数额。</w:t>
      </w:r>
    </w:p>
    <w:p w:rsidR="00244A26" w:rsidRPr="00A670FC" w:rsidRDefault="00244A26" w:rsidP="00244A26">
      <w:pPr>
        <w:pStyle w:val="2"/>
        <w:spacing w:before="0" w:after="0" w:line="240" w:lineRule="auto"/>
        <w:rPr>
          <w:rFonts w:ascii="仿宋" w:eastAsia="仿宋" w:hAnsi="仿宋"/>
          <w:b/>
          <w:sz w:val="28"/>
          <w:szCs w:val="28"/>
        </w:rPr>
      </w:pPr>
      <w:r w:rsidRPr="00A670FC">
        <w:rPr>
          <w:rFonts w:ascii="仿宋" w:eastAsia="仿宋" w:hAnsi="仿宋" w:hint="eastAsia"/>
          <w:b/>
          <w:sz w:val="28"/>
          <w:szCs w:val="28"/>
        </w:rPr>
        <w:t>三、</w:t>
      </w:r>
      <w:proofErr w:type="gramStart"/>
      <w:r w:rsidRPr="00A670FC">
        <w:rPr>
          <w:rFonts w:ascii="仿宋" w:eastAsia="仿宋" w:hAnsi="仿宋" w:hint="eastAsia"/>
          <w:b/>
          <w:sz w:val="28"/>
          <w:szCs w:val="28"/>
        </w:rPr>
        <w:t>以榜为鉴</w:t>
      </w:r>
      <w:proofErr w:type="gramEnd"/>
      <w:r w:rsidRPr="00A670FC">
        <w:rPr>
          <w:rFonts w:ascii="仿宋" w:eastAsia="仿宋" w:hAnsi="仿宋" w:hint="eastAsia"/>
          <w:b/>
          <w:sz w:val="28"/>
          <w:szCs w:val="28"/>
        </w:rPr>
        <w:t>：专家怎么看财政透明化？</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专家是监督财政透明化最积极的一股力量。无论是上海财经大学已经连续</w:t>
      </w:r>
      <w:r w:rsidRPr="00244A26">
        <w:rPr>
          <w:rFonts w:ascii="仿宋" w:eastAsia="仿宋" w:hAnsi="仿宋"/>
          <w:szCs w:val="24"/>
        </w:rPr>
        <w:t>9年持续发布的，以省级政府为单位的《中国财政透明度报告》，还是清华大学自2012年开始发布的《中国市级政府财政透明度研究报告》都体现了学界专家一如既往、持之以恒地对地方政府财政透明度问题的关注。正是学界的持续调查、研究，我国地方政府财政透明度的发展情况能够一直受到监督，并得以进行横向、纵向的比较，知不足而能改进。而今年财政部首次公开发榜，给各地预决算公开度打分，则让我们欣喜的看到行政部门内的专家也利用体制力量加入到对财政透明化的监督中来。</w:t>
      </w:r>
    </w:p>
    <w:p w:rsidR="00244A26" w:rsidRPr="00244A26" w:rsidRDefault="00244A26" w:rsidP="00244A26">
      <w:pPr>
        <w:widowControl/>
        <w:ind w:firstLineChars="200" w:firstLine="422"/>
        <w:jc w:val="left"/>
        <w:rPr>
          <w:rFonts w:ascii="仿宋" w:eastAsia="仿宋" w:hAnsi="仿宋"/>
          <w:b/>
          <w:szCs w:val="28"/>
        </w:rPr>
      </w:pPr>
      <w:r w:rsidRPr="00244A26">
        <w:rPr>
          <w:rFonts w:ascii="仿宋" w:eastAsia="仿宋" w:hAnsi="仿宋" w:hint="eastAsia"/>
          <w:b/>
          <w:szCs w:val="28"/>
        </w:rPr>
        <w:t>（一）</w:t>
      </w:r>
      <w:r w:rsidRPr="00244A26">
        <w:rPr>
          <w:rFonts w:ascii="仿宋" w:eastAsia="仿宋" w:hAnsi="仿宋"/>
          <w:b/>
          <w:szCs w:val="28"/>
        </w:rPr>
        <w:t>2017关键词：长足进步、仍有不足</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“感受进步与不足”是媒体在引用三份报告时提及最多的话。对于长期关注财政透明度问题的专家学者而言，</w:t>
      </w:r>
      <w:r w:rsidRPr="00244A26">
        <w:rPr>
          <w:rFonts w:ascii="仿宋" w:eastAsia="仿宋" w:hAnsi="仿宋"/>
          <w:szCs w:val="24"/>
        </w:rPr>
        <w:t>2017年无疑是令人振奋的一年。清华榜单负责人、教授俞乔在接受记者采访时提及：“中国市级政府财政公开与透明情况连续5年有了较大进步”</w:t>
      </w:r>
      <w:r w:rsidRPr="00244A26">
        <w:rPr>
          <w:rStyle w:val="af1"/>
          <w:rFonts w:ascii="仿宋" w:eastAsia="仿宋" w:hAnsi="仿宋" w:cs="Times New Roman"/>
          <w:sz w:val="24"/>
        </w:rPr>
        <w:footnoteReference w:id="8"/>
      </w:r>
      <w:r w:rsidRPr="00244A26">
        <w:rPr>
          <w:rFonts w:ascii="仿宋" w:eastAsia="仿宋" w:hAnsi="仿宋"/>
          <w:szCs w:val="24"/>
        </w:rPr>
        <w:t>；上财榜单省级财政透明度也在报告中着重写出9年来省级财政透明度平均分已经翻了一番多；而财政部榜单报告开篇第一节即是“地方预决算公开状况出现根本性好转”。这些都表明在专家学者的长期监督和制度力量的有效推进下，我国地方财政透明度已经取得了长足的进步。这一进步被显著的放在各个榜单报告中，</w:t>
      </w:r>
      <w:r w:rsidRPr="00244A26">
        <w:rPr>
          <w:rFonts w:ascii="仿宋" w:eastAsia="仿宋" w:hAnsi="仿宋" w:hint="eastAsia"/>
          <w:szCs w:val="24"/>
        </w:rPr>
        <w:t>是专家学者们对</w:t>
      </w:r>
      <w:r w:rsidRPr="00244A26">
        <w:rPr>
          <w:rFonts w:ascii="仿宋" w:eastAsia="仿宋" w:hAnsi="仿宋"/>
          <w:szCs w:val="24"/>
        </w:rPr>
        <w:t>2017年度地方财政透明度进步的肯定。</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但除了肯定，专家们对</w:t>
      </w:r>
      <w:r w:rsidRPr="00244A26">
        <w:rPr>
          <w:rFonts w:ascii="仿宋" w:eastAsia="仿宋" w:hAnsi="仿宋"/>
          <w:szCs w:val="24"/>
        </w:rPr>
        <w:t>2017年地方财政透明度的批评仍在。上</w:t>
      </w:r>
      <w:proofErr w:type="gramStart"/>
      <w:r w:rsidRPr="00244A26">
        <w:rPr>
          <w:rFonts w:ascii="仿宋" w:eastAsia="仿宋" w:hAnsi="仿宋"/>
          <w:szCs w:val="24"/>
        </w:rPr>
        <w:t>财报告</w:t>
      </w:r>
      <w:proofErr w:type="gramEnd"/>
      <w:r w:rsidRPr="00244A26">
        <w:rPr>
          <w:rFonts w:ascii="仿宋" w:eastAsia="仿宋" w:hAnsi="仿宋"/>
          <w:szCs w:val="24"/>
        </w:rPr>
        <w:t>主编邓淑莲认为“我国省级财政年度透明度仍不理想，有超过50%的调查信息没有公开，而财政透明度最低的省份公开了不到30%的调查信息。”财政部报告也提到地方预决算公开工作在工作开展平衡性、信息真实性等方面仍然存在一些问题。既有赞扬也有批评，专家学者对2017财政透明度的态度总体是客观、中肯的。</w:t>
      </w:r>
    </w:p>
    <w:p w:rsidR="00244A26" w:rsidRPr="00244A26" w:rsidRDefault="00244A26" w:rsidP="00244A26">
      <w:pPr>
        <w:widowControl/>
        <w:ind w:firstLineChars="200" w:firstLine="422"/>
        <w:jc w:val="left"/>
        <w:rPr>
          <w:rFonts w:ascii="仿宋" w:eastAsia="仿宋" w:hAnsi="仿宋"/>
          <w:b/>
          <w:szCs w:val="28"/>
        </w:rPr>
      </w:pPr>
      <w:r w:rsidRPr="00244A26">
        <w:rPr>
          <w:rFonts w:ascii="仿宋" w:eastAsia="仿宋" w:hAnsi="仿宋" w:hint="eastAsia"/>
          <w:b/>
          <w:szCs w:val="28"/>
        </w:rPr>
        <w:t>（二）政府专家：新媒体时代的高要求</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财政部的榜单中所依赖的指标体系是以法律法规和相关制度为依据建立的，通过财政部专项调查获取相关数据。客观上说，财政部榜单在数据上的可靠性、准确性最高。而在打分上，地方财政预决算公开度被分为公开率、及时性、完整性、细化程度、公开方式以及真实性等维度。财政部榜单体现出严谨、细致的特征，这也监督各地方政府在财政公开上要依照法律要求，严格做好各方面的预决算公开工作。</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在新媒体环境下，这个评价指标体系也体现出了新时代的特色。其一，各个项目的财政公开要共同推进。有些财政项目的公开确实存在难度，但如果不能逐步推进，反倒会给群众带来政府遮遮掩掩的感觉。其二，公开的速度也很重要，从舆情传播的角度看，失去了公开</w:t>
      </w:r>
      <w:r w:rsidRPr="00244A26">
        <w:rPr>
          <w:rFonts w:ascii="仿宋" w:eastAsia="仿宋" w:hAnsi="仿宋" w:hint="eastAsia"/>
          <w:szCs w:val="24"/>
        </w:rPr>
        <w:lastRenderedPageBreak/>
        <w:t>时效性，就很难取得好的舆论宣传效果，也不是确保公民实现知情权的正确态度。其三，公开方式也非常重要，新媒体时代下，地方政府除了要做好官网、地方纸媒等传统宣传方式，还需</w:t>
      </w:r>
      <w:proofErr w:type="gramStart"/>
      <w:r w:rsidRPr="00244A26">
        <w:rPr>
          <w:rFonts w:ascii="仿宋" w:eastAsia="仿宋" w:hAnsi="仿宋" w:hint="eastAsia"/>
          <w:szCs w:val="24"/>
        </w:rPr>
        <w:t>利用好微信</w:t>
      </w:r>
      <w:proofErr w:type="gramEnd"/>
      <w:r w:rsidRPr="00244A26">
        <w:rPr>
          <w:rFonts w:ascii="仿宋" w:eastAsia="仿宋" w:hAnsi="仿宋" w:hint="eastAsia"/>
          <w:szCs w:val="24"/>
        </w:rPr>
        <w:t>、</w:t>
      </w:r>
      <w:proofErr w:type="gramStart"/>
      <w:r w:rsidRPr="00244A26">
        <w:rPr>
          <w:rFonts w:ascii="仿宋" w:eastAsia="仿宋" w:hAnsi="仿宋" w:hint="eastAsia"/>
          <w:szCs w:val="24"/>
        </w:rPr>
        <w:t>微博等</w:t>
      </w:r>
      <w:proofErr w:type="gramEnd"/>
      <w:r w:rsidRPr="00244A26">
        <w:rPr>
          <w:rFonts w:ascii="仿宋" w:eastAsia="仿宋" w:hAnsi="仿宋" w:hint="eastAsia"/>
          <w:szCs w:val="24"/>
        </w:rPr>
        <w:t>新媒体平台，让信息公开直达终端。</w:t>
      </w:r>
    </w:p>
    <w:p w:rsidR="00244A26" w:rsidRPr="00244A26" w:rsidRDefault="00244A26" w:rsidP="00244A26">
      <w:pPr>
        <w:widowControl/>
        <w:ind w:firstLineChars="200" w:firstLine="422"/>
        <w:jc w:val="left"/>
        <w:rPr>
          <w:rFonts w:ascii="仿宋" w:eastAsia="仿宋" w:hAnsi="仿宋"/>
          <w:szCs w:val="24"/>
        </w:rPr>
      </w:pPr>
      <w:r w:rsidRPr="00244A26">
        <w:rPr>
          <w:rFonts w:ascii="仿宋" w:eastAsia="仿宋" w:hAnsi="仿宋" w:hint="eastAsia"/>
          <w:b/>
          <w:szCs w:val="28"/>
        </w:rPr>
        <w:t>（三）学界专家：态度同样不可或缺</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学界专家给各地财政透明打分的指标体系主要建立在对各个财政信息类型的划分上。如清华报告以公共财政、政府性基金、国有资本经营以及社保基金“四本帐”各自的公开程度作为透明度打分的基础，而上</w:t>
      </w:r>
      <w:proofErr w:type="gramStart"/>
      <w:r w:rsidRPr="00244A26">
        <w:rPr>
          <w:rFonts w:ascii="仿宋" w:eastAsia="仿宋" w:hAnsi="仿宋" w:hint="eastAsia"/>
          <w:szCs w:val="24"/>
        </w:rPr>
        <w:t>财报告</w:t>
      </w:r>
      <w:proofErr w:type="gramEnd"/>
      <w:r w:rsidRPr="00244A26">
        <w:rPr>
          <w:rFonts w:ascii="仿宋" w:eastAsia="仿宋" w:hAnsi="仿宋" w:hint="eastAsia"/>
          <w:szCs w:val="24"/>
        </w:rPr>
        <w:t>中的指标体系也以“一般公共预算基金评估、政府性基金评估、财政专户管理资金评估”等对政府财政信息进行分门别类，就各项公开情况分别打分。</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值得注意的是</w:t>
      </w:r>
      <w:proofErr w:type="gramStart"/>
      <w:r w:rsidRPr="00244A26">
        <w:rPr>
          <w:rFonts w:ascii="仿宋" w:eastAsia="仿宋" w:hAnsi="仿宋" w:hint="eastAsia"/>
          <w:szCs w:val="24"/>
        </w:rPr>
        <w:t>上财版的</w:t>
      </w:r>
      <w:proofErr w:type="gramEnd"/>
      <w:r w:rsidRPr="00244A26">
        <w:rPr>
          <w:rFonts w:ascii="仿宋" w:eastAsia="仿宋" w:hAnsi="仿宋" w:hint="eastAsia"/>
          <w:szCs w:val="24"/>
        </w:rPr>
        <w:t>报告和榜单不但考虑了信息公开程度这些直观因素，还将被调查者态度同样纳入到指标体系中来。由此可见，地方政府要提高财政透明度，真正让人民大众满意，不但需要在数据上公开，还需要在态度上端正。只有在认识上端正人民公仆的身份，才能真正理解财政公开透明的重要性，更好地为人民服务。</w:t>
      </w:r>
    </w:p>
    <w:p w:rsidR="00244A26" w:rsidRPr="00A670FC" w:rsidRDefault="00244A26" w:rsidP="00244A26">
      <w:pPr>
        <w:pStyle w:val="2"/>
        <w:spacing w:before="0" w:after="0" w:line="240" w:lineRule="auto"/>
        <w:rPr>
          <w:rFonts w:ascii="仿宋" w:eastAsia="仿宋" w:hAnsi="仿宋"/>
          <w:b/>
          <w:sz w:val="28"/>
          <w:szCs w:val="28"/>
        </w:rPr>
      </w:pPr>
      <w:r w:rsidRPr="00A670FC">
        <w:rPr>
          <w:rFonts w:ascii="仿宋" w:eastAsia="仿宋" w:hAnsi="仿宋" w:hint="eastAsia"/>
          <w:b/>
          <w:sz w:val="28"/>
          <w:szCs w:val="28"/>
        </w:rPr>
        <w:t>四、</w:t>
      </w:r>
      <w:proofErr w:type="gramStart"/>
      <w:r w:rsidRPr="00A670FC">
        <w:rPr>
          <w:rFonts w:ascii="仿宋" w:eastAsia="仿宋" w:hAnsi="仿宋" w:hint="eastAsia"/>
          <w:b/>
          <w:sz w:val="28"/>
          <w:szCs w:val="28"/>
        </w:rPr>
        <w:t>热议榜单</w:t>
      </w:r>
      <w:proofErr w:type="gramEnd"/>
      <w:r w:rsidRPr="00A670FC">
        <w:rPr>
          <w:rFonts w:ascii="仿宋" w:eastAsia="仿宋" w:hAnsi="仿宋" w:hint="eastAsia"/>
          <w:b/>
          <w:sz w:val="28"/>
          <w:szCs w:val="28"/>
        </w:rPr>
        <w:t>：网民真正关心什么？</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三份报告榜单代表了专家学者对地方财政透明度问题的长期关注。而正是专家学者们年复一年的不懈努力才逐渐唤起了一般群众对于财政透明度问题的认知与理解。从第二节的热度变化图我们可以看出，“财政透明度”话题平日里在网络上不太受到关注，但在上</w:t>
      </w:r>
      <w:proofErr w:type="gramStart"/>
      <w:r w:rsidRPr="00244A26">
        <w:rPr>
          <w:rFonts w:ascii="仿宋" w:eastAsia="仿宋" w:hAnsi="仿宋" w:hint="eastAsia"/>
          <w:szCs w:val="24"/>
        </w:rPr>
        <w:t>财版报告</w:t>
      </w:r>
      <w:proofErr w:type="gramEnd"/>
      <w:r w:rsidRPr="00244A26">
        <w:rPr>
          <w:rFonts w:ascii="仿宋" w:eastAsia="仿宋" w:hAnsi="仿宋" w:hint="eastAsia"/>
          <w:szCs w:val="24"/>
        </w:rPr>
        <w:t>发布后热度有显著的提升。可以说民众对于地方政府财政透明度的横向比较，主要是基于这些报告才得以产生。有了这些报告，民众对于居住地政府的财政透明情况也能有更加客观、中肯的了解。</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对“财政透明度”舆情的传播途径分析显示，此次舆情主要集中在微博、网站中，又</w:t>
      </w:r>
      <w:proofErr w:type="gramStart"/>
      <w:r w:rsidRPr="00244A26">
        <w:rPr>
          <w:rFonts w:ascii="仿宋" w:eastAsia="仿宋" w:hAnsi="仿宋" w:hint="eastAsia"/>
          <w:szCs w:val="24"/>
        </w:rPr>
        <w:t>以微博网民</w:t>
      </w:r>
      <w:proofErr w:type="gramEnd"/>
      <w:r w:rsidRPr="00244A26">
        <w:rPr>
          <w:rFonts w:ascii="仿宋" w:eastAsia="仿宋" w:hAnsi="仿宋" w:hint="eastAsia"/>
          <w:szCs w:val="24"/>
        </w:rPr>
        <w:t>意见表达最为集中。因此本研究采用了新</w:t>
      </w:r>
      <w:proofErr w:type="gramStart"/>
      <w:r w:rsidRPr="00244A26">
        <w:rPr>
          <w:rFonts w:ascii="仿宋" w:eastAsia="仿宋" w:hAnsi="仿宋" w:hint="eastAsia"/>
          <w:szCs w:val="24"/>
        </w:rPr>
        <w:t>浪微博下</w:t>
      </w:r>
      <w:proofErr w:type="gramEnd"/>
      <w:r w:rsidRPr="00244A26">
        <w:rPr>
          <w:rFonts w:ascii="仿宋" w:eastAsia="仿宋" w:hAnsi="仿宋" w:hint="eastAsia"/>
          <w:szCs w:val="24"/>
        </w:rPr>
        <w:t>的网友评论作为分析网民意见的基本单位。此次分析选取</w:t>
      </w:r>
      <w:proofErr w:type="gramStart"/>
      <w:r w:rsidRPr="00244A26">
        <w:rPr>
          <w:rFonts w:ascii="仿宋" w:eastAsia="仿宋" w:hAnsi="仿宋" w:hint="eastAsia"/>
          <w:szCs w:val="24"/>
        </w:rPr>
        <w:t>的微博评论</w:t>
      </w:r>
      <w:proofErr w:type="gramEnd"/>
      <w:r w:rsidRPr="00244A26">
        <w:rPr>
          <w:rFonts w:ascii="仿宋" w:eastAsia="仿宋" w:hAnsi="仿宋" w:hint="eastAsia"/>
          <w:szCs w:val="24"/>
        </w:rPr>
        <w:t>来自于新</w:t>
      </w:r>
      <w:proofErr w:type="gramStart"/>
      <w:r w:rsidRPr="00244A26">
        <w:rPr>
          <w:rFonts w:ascii="仿宋" w:eastAsia="仿宋" w:hAnsi="仿宋" w:hint="eastAsia"/>
          <w:szCs w:val="24"/>
        </w:rPr>
        <w:t>浪微博</w:t>
      </w:r>
      <w:proofErr w:type="gramEnd"/>
      <w:r w:rsidRPr="00244A26">
        <w:rPr>
          <w:rFonts w:ascii="仿宋" w:eastAsia="仿宋" w:hAnsi="仿宋" w:hint="eastAsia"/>
          <w:szCs w:val="24"/>
        </w:rPr>
        <w:t>中认证媒体账号对三份报道下的评论，共计</w:t>
      </w:r>
      <w:r w:rsidRPr="00244A26">
        <w:rPr>
          <w:rFonts w:ascii="仿宋" w:eastAsia="仿宋" w:hAnsi="仿宋"/>
          <w:szCs w:val="24"/>
        </w:rPr>
        <w:t>183条，来源于</w:t>
      </w:r>
      <w:proofErr w:type="gramStart"/>
      <w:r w:rsidRPr="00244A26">
        <w:rPr>
          <w:rFonts w:ascii="仿宋" w:eastAsia="仿宋" w:hAnsi="仿宋"/>
          <w:szCs w:val="24"/>
        </w:rPr>
        <w:t>六条微博</w:t>
      </w:r>
      <w:proofErr w:type="gramEnd"/>
      <w:r w:rsidRPr="00244A26">
        <w:rPr>
          <w:rStyle w:val="af1"/>
          <w:rFonts w:ascii="仿宋" w:eastAsia="仿宋" w:hAnsi="仿宋" w:cs="Times New Roman"/>
          <w:sz w:val="24"/>
        </w:rPr>
        <w:footnoteReference w:id="9"/>
      </w:r>
      <w:r w:rsidRPr="00244A26">
        <w:rPr>
          <w:rFonts w:ascii="仿宋" w:eastAsia="仿宋" w:hAnsi="仿宋" w:hint="eastAsia"/>
          <w:szCs w:val="24"/>
        </w:rPr>
        <w:t>。</w:t>
      </w:r>
      <w:r w:rsidRPr="00244A26">
        <w:rPr>
          <w:rFonts w:ascii="仿宋" w:eastAsia="仿宋" w:hAnsi="仿宋"/>
          <w:szCs w:val="24"/>
        </w:rPr>
        <w:t>这</w:t>
      </w:r>
      <w:proofErr w:type="gramStart"/>
      <w:r w:rsidRPr="00244A26">
        <w:rPr>
          <w:rFonts w:ascii="仿宋" w:eastAsia="仿宋" w:hAnsi="仿宋"/>
          <w:szCs w:val="24"/>
        </w:rPr>
        <w:t>六条微博中</w:t>
      </w:r>
      <w:proofErr w:type="gramEnd"/>
      <w:r w:rsidRPr="00244A26">
        <w:rPr>
          <w:rFonts w:ascii="仿宋" w:eastAsia="仿宋" w:hAnsi="仿宋"/>
          <w:szCs w:val="24"/>
        </w:rPr>
        <w:t>，报道财政部榜单的有3条，收到</w:t>
      </w:r>
      <w:proofErr w:type="gramStart"/>
      <w:r w:rsidRPr="00244A26">
        <w:rPr>
          <w:rFonts w:ascii="仿宋" w:eastAsia="仿宋" w:hAnsi="仿宋"/>
          <w:szCs w:val="24"/>
        </w:rPr>
        <w:t>评论共</w:t>
      </w:r>
      <w:proofErr w:type="gramEnd"/>
      <w:r w:rsidRPr="00244A26">
        <w:rPr>
          <w:rFonts w:ascii="仿宋" w:eastAsia="仿宋" w:hAnsi="仿宋"/>
          <w:szCs w:val="24"/>
        </w:rPr>
        <w:t>94条；报道</w:t>
      </w:r>
      <w:proofErr w:type="gramStart"/>
      <w:r w:rsidRPr="00244A26">
        <w:rPr>
          <w:rFonts w:ascii="仿宋" w:eastAsia="仿宋" w:hAnsi="仿宋"/>
          <w:szCs w:val="24"/>
        </w:rPr>
        <w:t>上财版榜单</w:t>
      </w:r>
      <w:proofErr w:type="gramEnd"/>
      <w:r w:rsidRPr="00244A26">
        <w:rPr>
          <w:rFonts w:ascii="仿宋" w:eastAsia="仿宋" w:hAnsi="仿宋"/>
          <w:szCs w:val="24"/>
        </w:rPr>
        <w:t>的共2条，收到</w:t>
      </w:r>
      <w:proofErr w:type="gramStart"/>
      <w:r w:rsidRPr="00244A26">
        <w:rPr>
          <w:rFonts w:ascii="仿宋" w:eastAsia="仿宋" w:hAnsi="仿宋"/>
          <w:szCs w:val="24"/>
        </w:rPr>
        <w:t>评论共</w:t>
      </w:r>
      <w:proofErr w:type="gramEnd"/>
      <w:r w:rsidRPr="00244A26">
        <w:rPr>
          <w:rFonts w:ascii="仿宋" w:eastAsia="仿宋" w:hAnsi="仿宋"/>
          <w:szCs w:val="24"/>
        </w:rPr>
        <w:t>85条；报道清华版榜单的共1条，收到评论4条。其分布情况如表</w:t>
      </w:r>
      <w:r w:rsidRPr="00244A26">
        <w:rPr>
          <w:rFonts w:ascii="仿宋" w:eastAsia="仿宋" w:hAnsi="仿宋" w:hint="eastAsia"/>
          <w:szCs w:val="24"/>
        </w:rPr>
        <w:t>2-</w:t>
      </w:r>
      <w:r w:rsidRPr="00244A26">
        <w:rPr>
          <w:rFonts w:ascii="仿宋" w:eastAsia="仿宋" w:hAnsi="仿宋"/>
          <w:szCs w:val="24"/>
        </w:rPr>
        <w:t>1所示：</w:t>
      </w:r>
    </w:p>
    <w:p w:rsidR="00244A26" w:rsidRPr="00244A26" w:rsidRDefault="00244A26" w:rsidP="00244A26">
      <w:pPr>
        <w:ind w:firstLine="420"/>
        <w:jc w:val="center"/>
        <w:rPr>
          <w:rFonts w:ascii="仿宋" w:eastAsia="仿宋" w:hAnsi="仿宋"/>
          <w:szCs w:val="24"/>
        </w:rPr>
      </w:pPr>
      <w:r w:rsidRPr="00244A26">
        <w:rPr>
          <w:rFonts w:ascii="仿宋" w:eastAsia="仿宋" w:hAnsi="仿宋" w:hint="eastAsia"/>
          <w:szCs w:val="24"/>
        </w:rPr>
        <w:t>表</w:t>
      </w:r>
      <w:r w:rsidRPr="00244A26">
        <w:rPr>
          <w:rFonts w:ascii="仿宋" w:eastAsia="仿宋" w:hAnsi="仿宋"/>
          <w:szCs w:val="24"/>
        </w:rPr>
        <w:t>1</w:t>
      </w:r>
      <w:r w:rsidRPr="00244A26">
        <w:rPr>
          <w:rFonts w:ascii="仿宋" w:eastAsia="仿宋" w:hAnsi="仿宋" w:hint="eastAsia"/>
          <w:szCs w:val="24"/>
        </w:rPr>
        <w:t xml:space="preserve"> </w:t>
      </w:r>
      <w:r w:rsidRPr="00244A26">
        <w:rPr>
          <w:rFonts w:ascii="仿宋" w:eastAsia="仿宋" w:hAnsi="仿宋"/>
          <w:szCs w:val="24"/>
        </w:rPr>
        <w:t>评论来源分布表</w:t>
      </w:r>
    </w:p>
    <w:tbl>
      <w:tblPr>
        <w:tblStyle w:val="af2"/>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393"/>
        <w:gridCol w:w="1034"/>
        <w:gridCol w:w="1034"/>
        <w:gridCol w:w="1034"/>
        <w:gridCol w:w="1034"/>
        <w:gridCol w:w="850"/>
        <w:gridCol w:w="1218"/>
      </w:tblGrid>
      <w:tr w:rsidR="00244A26" w:rsidRPr="00244A26" w:rsidTr="00F43BDE">
        <w:trPr>
          <w:trHeight w:val="582"/>
          <w:jc w:val="center"/>
        </w:trPr>
        <w:tc>
          <w:tcPr>
            <w:tcW w:w="709" w:type="dxa"/>
            <w:tcBorders>
              <w:top w:val="single" w:sz="12" w:space="0" w:color="auto"/>
              <w:bottom w:val="nil"/>
            </w:tcBorders>
            <w:vAlign w:val="center"/>
          </w:tcPr>
          <w:p w:rsidR="00244A26" w:rsidRPr="00244A26" w:rsidRDefault="00244A26" w:rsidP="00244A26">
            <w:pPr>
              <w:jc w:val="center"/>
              <w:rPr>
                <w:rFonts w:ascii="仿宋" w:eastAsia="仿宋" w:hAnsi="仿宋"/>
                <w:sz w:val="18"/>
                <w:szCs w:val="18"/>
              </w:rPr>
            </w:pPr>
          </w:p>
        </w:tc>
        <w:tc>
          <w:tcPr>
            <w:tcW w:w="1393" w:type="dxa"/>
            <w:tcBorders>
              <w:top w:val="single" w:sz="12" w:space="0" w:color="auto"/>
              <w:bottom w:val="nil"/>
            </w:tcBorders>
            <w:vAlign w:val="center"/>
          </w:tcPr>
          <w:p w:rsidR="00244A26" w:rsidRPr="00244A26" w:rsidRDefault="00244A26" w:rsidP="00244A26">
            <w:pPr>
              <w:jc w:val="center"/>
              <w:rPr>
                <w:rFonts w:ascii="仿宋" w:eastAsia="仿宋" w:hAnsi="仿宋"/>
                <w:sz w:val="18"/>
                <w:szCs w:val="18"/>
              </w:rPr>
            </w:pPr>
          </w:p>
        </w:tc>
        <w:tc>
          <w:tcPr>
            <w:tcW w:w="6204" w:type="dxa"/>
            <w:gridSpan w:val="6"/>
            <w:tcBorders>
              <w:top w:val="single" w:sz="12" w:space="0" w:color="auto"/>
              <w:bottom w:val="single" w:sz="8"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报道媒体</w:t>
            </w:r>
          </w:p>
        </w:tc>
      </w:tr>
      <w:tr w:rsidR="00244A26" w:rsidRPr="00244A26" w:rsidTr="00F43BDE">
        <w:trPr>
          <w:jc w:val="center"/>
        </w:trPr>
        <w:tc>
          <w:tcPr>
            <w:tcW w:w="709"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p>
        </w:tc>
        <w:tc>
          <w:tcPr>
            <w:tcW w:w="1393"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p>
        </w:tc>
        <w:tc>
          <w:tcPr>
            <w:tcW w:w="1034"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新华视点</w:t>
            </w:r>
          </w:p>
        </w:tc>
        <w:tc>
          <w:tcPr>
            <w:tcW w:w="1034"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求是</w:t>
            </w:r>
          </w:p>
        </w:tc>
        <w:tc>
          <w:tcPr>
            <w:tcW w:w="1034"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凤凰财经</w:t>
            </w:r>
          </w:p>
        </w:tc>
        <w:tc>
          <w:tcPr>
            <w:tcW w:w="1034"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新浪财经</w:t>
            </w:r>
          </w:p>
        </w:tc>
        <w:tc>
          <w:tcPr>
            <w:tcW w:w="850"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财新网</w:t>
            </w:r>
          </w:p>
        </w:tc>
        <w:tc>
          <w:tcPr>
            <w:tcW w:w="1218"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中国经济网</w:t>
            </w:r>
          </w:p>
        </w:tc>
      </w:tr>
      <w:tr w:rsidR="00244A26" w:rsidRPr="00244A26" w:rsidTr="00F43BDE">
        <w:trPr>
          <w:jc w:val="center"/>
        </w:trPr>
        <w:tc>
          <w:tcPr>
            <w:tcW w:w="709" w:type="dxa"/>
            <w:vMerge w:val="restart"/>
            <w:tcBorders>
              <w:top w:val="single" w:sz="12" w:space="0" w:color="auto"/>
            </w:tcBorders>
            <w:vAlign w:val="center"/>
          </w:tcPr>
          <w:p w:rsidR="00244A26" w:rsidRPr="00244A26" w:rsidRDefault="00244A26" w:rsidP="00244A26">
            <w:pPr>
              <w:jc w:val="center"/>
              <w:rPr>
                <w:rFonts w:ascii="仿宋" w:eastAsia="仿宋" w:hAnsi="仿宋"/>
                <w:sz w:val="18"/>
                <w:szCs w:val="18"/>
              </w:rPr>
            </w:pPr>
            <w:proofErr w:type="gramStart"/>
            <w:r w:rsidRPr="00244A26">
              <w:rPr>
                <w:rFonts w:ascii="仿宋" w:eastAsia="仿宋" w:hAnsi="仿宋" w:hint="eastAsia"/>
                <w:sz w:val="18"/>
                <w:szCs w:val="18"/>
              </w:rPr>
              <w:t>微博内容</w:t>
            </w:r>
            <w:proofErr w:type="gramEnd"/>
          </w:p>
        </w:tc>
        <w:tc>
          <w:tcPr>
            <w:tcW w:w="1393"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财政部榜单</w:t>
            </w:r>
          </w:p>
        </w:tc>
        <w:tc>
          <w:tcPr>
            <w:tcW w:w="1034"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76</w:t>
            </w:r>
          </w:p>
        </w:tc>
        <w:tc>
          <w:tcPr>
            <w:tcW w:w="1034"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14</w:t>
            </w:r>
          </w:p>
        </w:tc>
        <w:tc>
          <w:tcPr>
            <w:tcW w:w="1034"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4</w:t>
            </w:r>
          </w:p>
        </w:tc>
        <w:tc>
          <w:tcPr>
            <w:tcW w:w="1034"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c>
          <w:tcPr>
            <w:tcW w:w="850"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c>
          <w:tcPr>
            <w:tcW w:w="1218" w:type="dxa"/>
            <w:tcBorders>
              <w:top w:val="single" w:sz="12" w:space="0" w:color="auto"/>
            </w:tcBorders>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r>
      <w:tr w:rsidR="00244A26" w:rsidRPr="00244A26" w:rsidTr="00F43BDE">
        <w:trPr>
          <w:jc w:val="center"/>
        </w:trPr>
        <w:tc>
          <w:tcPr>
            <w:tcW w:w="709" w:type="dxa"/>
            <w:vMerge/>
            <w:vAlign w:val="center"/>
          </w:tcPr>
          <w:p w:rsidR="00244A26" w:rsidRPr="00244A26" w:rsidRDefault="00244A26" w:rsidP="00244A26">
            <w:pPr>
              <w:jc w:val="center"/>
              <w:rPr>
                <w:rFonts w:ascii="仿宋" w:eastAsia="仿宋" w:hAnsi="仿宋"/>
                <w:sz w:val="18"/>
                <w:szCs w:val="18"/>
              </w:rPr>
            </w:pPr>
          </w:p>
        </w:tc>
        <w:tc>
          <w:tcPr>
            <w:tcW w:w="1393" w:type="dxa"/>
            <w:vAlign w:val="center"/>
          </w:tcPr>
          <w:p w:rsidR="00244A26" w:rsidRPr="00244A26" w:rsidRDefault="00244A26" w:rsidP="00244A26">
            <w:pPr>
              <w:jc w:val="center"/>
              <w:rPr>
                <w:rFonts w:ascii="仿宋" w:eastAsia="仿宋" w:hAnsi="仿宋"/>
                <w:sz w:val="18"/>
                <w:szCs w:val="18"/>
              </w:rPr>
            </w:pPr>
            <w:proofErr w:type="gramStart"/>
            <w:r w:rsidRPr="00244A26">
              <w:rPr>
                <w:rFonts w:ascii="仿宋" w:eastAsia="仿宋" w:hAnsi="仿宋" w:hint="eastAsia"/>
                <w:sz w:val="18"/>
                <w:szCs w:val="18"/>
              </w:rPr>
              <w:t>上财版榜单</w:t>
            </w:r>
            <w:proofErr w:type="gramEnd"/>
          </w:p>
        </w:tc>
        <w:tc>
          <w:tcPr>
            <w:tcW w:w="1034"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c>
          <w:tcPr>
            <w:tcW w:w="1034"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c>
          <w:tcPr>
            <w:tcW w:w="1034"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c>
          <w:tcPr>
            <w:tcW w:w="1034"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60</w:t>
            </w:r>
          </w:p>
        </w:tc>
        <w:tc>
          <w:tcPr>
            <w:tcW w:w="850"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25</w:t>
            </w:r>
          </w:p>
        </w:tc>
        <w:tc>
          <w:tcPr>
            <w:tcW w:w="1218"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r>
      <w:tr w:rsidR="00244A26" w:rsidRPr="00244A26" w:rsidTr="00F43BDE">
        <w:trPr>
          <w:jc w:val="center"/>
        </w:trPr>
        <w:tc>
          <w:tcPr>
            <w:tcW w:w="709" w:type="dxa"/>
            <w:vMerge/>
            <w:vAlign w:val="center"/>
          </w:tcPr>
          <w:p w:rsidR="00244A26" w:rsidRPr="00244A26" w:rsidRDefault="00244A26" w:rsidP="00244A26">
            <w:pPr>
              <w:jc w:val="center"/>
              <w:rPr>
                <w:rFonts w:ascii="仿宋" w:eastAsia="仿宋" w:hAnsi="仿宋"/>
                <w:sz w:val="18"/>
                <w:szCs w:val="18"/>
              </w:rPr>
            </w:pPr>
          </w:p>
        </w:tc>
        <w:tc>
          <w:tcPr>
            <w:tcW w:w="1393"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清华版榜单</w:t>
            </w:r>
          </w:p>
        </w:tc>
        <w:tc>
          <w:tcPr>
            <w:tcW w:w="1034"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c>
          <w:tcPr>
            <w:tcW w:w="1034"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c>
          <w:tcPr>
            <w:tcW w:w="1034"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c>
          <w:tcPr>
            <w:tcW w:w="1034"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c>
          <w:tcPr>
            <w:tcW w:w="850"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w:t>
            </w:r>
          </w:p>
        </w:tc>
        <w:tc>
          <w:tcPr>
            <w:tcW w:w="1218" w:type="dxa"/>
            <w:vAlign w:val="center"/>
          </w:tcPr>
          <w:p w:rsidR="00244A26" w:rsidRPr="00244A26" w:rsidRDefault="00244A26" w:rsidP="00244A26">
            <w:pPr>
              <w:jc w:val="center"/>
              <w:rPr>
                <w:rFonts w:ascii="仿宋" w:eastAsia="仿宋" w:hAnsi="仿宋"/>
                <w:sz w:val="18"/>
                <w:szCs w:val="18"/>
              </w:rPr>
            </w:pPr>
            <w:r w:rsidRPr="00244A26">
              <w:rPr>
                <w:rFonts w:ascii="仿宋" w:eastAsia="仿宋" w:hAnsi="仿宋" w:hint="eastAsia"/>
                <w:sz w:val="18"/>
                <w:szCs w:val="18"/>
              </w:rPr>
              <w:t>4</w:t>
            </w:r>
          </w:p>
        </w:tc>
      </w:tr>
    </w:tbl>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考虑到除了网民的文字评论，网民的</w:t>
      </w:r>
      <w:proofErr w:type="gramStart"/>
      <w:r w:rsidRPr="00244A26">
        <w:rPr>
          <w:rFonts w:ascii="仿宋" w:eastAsia="仿宋" w:hAnsi="仿宋" w:hint="eastAsia"/>
          <w:szCs w:val="24"/>
        </w:rPr>
        <w:t>点赞</w:t>
      </w:r>
      <w:r w:rsidRPr="00244A26">
        <w:rPr>
          <w:rFonts w:ascii="仿宋" w:eastAsia="仿宋" w:hAnsi="仿宋"/>
          <w:szCs w:val="24"/>
        </w:rPr>
        <w:t>/点灭同样</w:t>
      </w:r>
      <w:proofErr w:type="gramEnd"/>
      <w:r w:rsidRPr="00244A26">
        <w:rPr>
          <w:rFonts w:ascii="仿宋" w:eastAsia="仿宋" w:hAnsi="仿宋"/>
          <w:szCs w:val="24"/>
        </w:rPr>
        <w:t>反映了网民的意见表达，因此研究设计了一个权重指标来对网民文字评论反映的相关态度进行加权。该权重指标计算公式如下：Q=评论</w:t>
      </w:r>
      <w:proofErr w:type="gramStart"/>
      <w:r w:rsidRPr="00244A26">
        <w:rPr>
          <w:rFonts w:ascii="仿宋" w:eastAsia="仿宋" w:hAnsi="仿宋"/>
          <w:szCs w:val="24"/>
        </w:rPr>
        <w:t>点赞数</w:t>
      </w:r>
      <w:proofErr w:type="gramEnd"/>
      <w:r w:rsidRPr="00244A26">
        <w:rPr>
          <w:rFonts w:ascii="仿宋" w:eastAsia="仿宋" w:hAnsi="仿宋"/>
          <w:szCs w:val="24"/>
        </w:rPr>
        <w:t>-评论</w:t>
      </w:r>
      <w:proofErr w:type="gramStart"/>
      <w:r w:rsidRPr="00244A26">
        <w:rPr>
          <w:rFonts w:ascii="仿宋" w:eastAsia="仿宋" w:hAnsi="仿宋"/>
          <w:szCs w:val="24"/>
        </w:rPr>
        <w:t>点灭数</w:t>
      </w:r>
      <w:proofErr w:type="gramEnd"/>
      <w:r w:rsidRPr="00244A26">
        <w:rPr>
          <w:rFonts w:ascii="仿宋" w:eastAsia="仿宋" w:hAnsi="仿宋"/>
          <w:szCs w:val="24"/>
        </w:rPr>
        <w:t>+1。而在此次舆情中，这</w:t>
      </w:r>
      <w:proofErr w:type="gramStart"/>
      <w:r w:rsidRPr="00244A26">
        <w:rPr>
          <w:rFonts w:ascii="仿宋" w:eastAsia="仿宋" w:hAnsi="仿宋"/>
          <w:szCs w:val="24"/>
        </w:rPr>
        <w:t>183条微博评论</w:t>
      </w:r>
      <w:proofErr w:type="gramEnd"/>
      <w:r w:rsidRPr="00244A26">
        <w:rPr>
          <w:rFonts w:ascii="仿宋" w:eastAsia="仿宋" w:hAnsi="仿宋"/>
          <w:szCs w:val="24"/>
        </w:rPr>
        <w:t>均没收到点灭，且共受到了308条点赞。由此，本研究一共得到了491个网民意见分析样本。</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进一步地，为了探究这些网民评论是如何反映网民意见的，研究按表</w:t>
      </w:r>
      <w:r w:rsidRPr="00244A26">
        <w:rPr>
          <w:rFonts w:ascii="仿宋" w:eastAsia="仿宋" w:hAnsi="仿宋"/>
          <w:szCs w:val="24"/>
        </w:rPr>
        <w:t>2对这些评论进行了内容分析并编码。内容分析包括评论针对的对象与态度，主要涵盖了以下几个方面：其一，</w:t>
      </w:r>
      <w:r w:rsidRPr="00244A26">
        <w:rPr>
          <w:rFonts w:ascii="仿宋" w:eastAsia="仿宋" w:hAnsi="仿宋"/>
          <w:szCs w:val="24"/>
        </w:rPr>
        <w:lastRenderedPageBreak/>
        <w:t>评论来源的</w:t>
      </w:r>
      <w:proofErr w:type="gramStart"/>
      <w:r w:rsidRPr="00244A26">
        <w:rPr>
          <w:rFonts w:ascii="仿宋" w:eastAsia="仿宋" w:hAnsi="仿宋"/>
          <w:szCs w:val="24"/>
        </w:rPr>
        <w:t>微博基本</w:t>
      </w:r>
      <w:proofErr w:type="gramEnd"/>
      <w:r w:rsidRPr="00244A26">
        <w:rPr>
          <w:rFonts w:ascii="仿宋" w:eastAsia="仿宋" w:hAnsi="仿宋"/>
          <w:szCs w:val="24"/>
        </w:rPr>
        <w:t>信息；其二，评论基本信息；其三，评论对当前财政透明状况的态度；其四，评论是否针对地方性情况。根据该标准我们对全部183条网民文字评论进行了编码，以提高分析的深度。表2</w:t>
      </w:r>
      <w:r w:rsidRPr="00244A26">
        <w:rPr>
          <w:rFonts w:ascii="仿宋" w:eastAsia="仿宋" w:hAnsi="仿宋" w:hint="eastAsia"/>
          <w:szCs w:val="24"/>
        </w:rPr>
        <w:t>-2</w:t>
      </w:r>
      <w:r w:rsidRPr="00244A26">
        <w:rPr>
          <w:rFonts w:ascii="仿宋" w:eastAsia="仿宋" w:hAnsi="仿宋"/>
          <w:szCs w:val="24"/>
        </w:rPr>
        <w:t>呈现了编码的具体类目，其中的选项均为单选。</w:t>
      </w:r>
    </w:p>
    <w:p w:rsidR="00244A26" w:rsidRPr="00244A26" w:rsidRDefault="00244A26" w:rsidP="00244A26">
      <w:pPr>
        <w:ind w:firstLine="420"/>
        <w:jc w:val="center"/>
        <w:rPr>
          <w:rFonts w:ascii="仿宋" w:eastAsia="仿宋" w:hAnsi="仿宋"/>
          <w:szCs w:val="24"/>
        </w:rPr>
      </w:pPr>
      <w:r w:rsidRPr="00244A26">
        <w:rPr>
          <w:rFonts w:ascii="仿宋" w:eastAsia="仿宋" w:hAnsi="仿宋" w:hint="eastAsia"/>
          <w:szCs w:val="24"/>
        </w:rPr>
        <w:t>表2</w:t>
      </w:r>
      <w:r w:rsidR="00A670FC">
        <w:rPr>
          <w:rFonts w:ascii="仿宋" w:eastAsia="仿宋" w:hAnsi="仿宋"/>
          <w:szCs w:val="24"/>
        </w:rPr>
        <w:t xml:space="preserve"> </w:t>
      </w:r>
      <w:r w:rsidRPr="00244A26">
        <w:rPr>
          <w:rFonts w:ascii="仿宋" w:eastAsia="仿宋" w:hAnsi="仿宋" w:hint="eastAsia"/>
          <w:szCs w:val="24"/>
        </w:rPr>
        <w:t>内容分析单位编码类目表</w:t>
      </w:r>
    </w:p>
    <w:tbl>
      <w:tblPr>
        <w:tblStyle w:val="af2"/>
        <w:tblpPr w:leftFromText="180" w:rightFromText="180" w:vertAnchor="text" w:horzAnchor="page" w:tblpXSpec="center" w:tblpY="60"/>
        <w:tblW w:w="0" w:type="auto"/>
        <w:tblLook w:val="04A0" w:firstRow="1" w:lastRow="0" w:firstColumn="1" w:lastColumn="0" w:noHBand="0" w:noVBand="1"/>
      </w:tblPr>
      <w:tblGrid>
        <w:gridCol w:w="8296"/>
      </w:tblGrid>
      <w:tr w:rsidR="00244A26" w:rsidRPr="00244A26" w:rsidTr="00F43BDE">
        <w:tc>
          <w:tcPr>
            <w:tcW w:w="8296" w:type="dxa"/>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内容分析编码类目</w:t>
            </w:r>
          </w:p>
        </w:tc>
      </w:tr>
      <w:tr w:rsidR="00244A26" w:rsidRPr="00244A26" w:rsidTr="00F43BDE">
        <w:tc>
          <w:tcPr>
            <w:tcW w:w="8296" w:type="dxa"/>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1.分析单位编号</w:t>
            </w:r>
          </w:p>
        </w:tc>
      </w:tr>
      <w:tr w:rsidR="00244A26" w:rsidRPr="00244A26" w:rsidTr="00F43BDE">
        <w:tc>
          <w:tcPr>
            <w:tcW w:w="8296" w:type="dxa"/>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2.评论来源的新闻编号及主体</w:t>
            </w:r>
          </w:p>
        </w:tc>
      </w:tr>
      <w:tr w:rsidR="00244A26" w:rsidRPr="00244A26" w:rsidTr="00F43BDE">
        <w:tc>
          <w:tcPr>
            <w:tcW w:w="8296" w:type="dxa"/>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3.评论作者</w:t>
            </w:r>
          </w:p>
        </w:tc>
      </w:tr>
      <w:tr w:rsidR="00244A26" w:rsidRPr="00244A26" w:rsidTr="00F43BDE">
        <w:tc>
          <w:tcPr>
            <w:tcW w:w="8296" w:type="dxa"/>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4.评论内容</w:t>
            </w:r>
          </w:p>
        </w:tc>
      </w:tr>
      <w:tr w:rsidR="00244A26" w:rsidRPr="00244A26" w:rsidTr="00F43BDE">
        <w:tc>
          <w:tcPr>
            <w:tcW w:w="8296" w:type="dxa"/>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5.评论支持数</w:t>
            </w:r>
          </w:p>
        </w:tc>
      </w:tr>
      <w:tr w:rsidR="00244A26" w:rsidRPr="00244A26" w:rsidTr="00F43BDE">
        <w:tc>
          <w:tcPr>
            <w:tcW w:w="8296" w:type="dxa"/>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6.评论反对数</w:t>
            </w:r>
          </w:p>
        </w:tc>
      </w:tr>
      <w:tr w:rsidR="00244A26" w:rsidRPr="00244A26" w:rsidTr="00F43BDE">
        <w:tc>
          <w:tcPr>
            <w:tcW w:w="8296" w:type="dxa"/>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7.</w:t>
            </w:r>
            <w:r w:rsidRPr="00244A26">
              <w:rPr>
                <w:rFonts w:ascii="仿宋" w:eastAsia="仿宋" w:hAnsi="仿宋"/>
                <w:sz w:val="18"/>
                <w:szCs w:val="18"/>
              </w:rPr>
              <w:t xml:space="preserve"> </w:t>
            </w:r>
            <w:r w:rsidRPr="00244A26">
              <w:rPr>
                <w:rFonts w:ascii="仿宋" w:eastAsia="仿宋" w:hAnsi="仿宋" w:hint="eastAsia"/>
                <w:sz w:val="18"/>
                <w:szCs w:val="18"/>
              </w:rPr>
              <w:t>评论对当前财政透明状况的态度</w:t>
            </w:r>
          </w:p>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1）否定 2）中立 3）认可</w:t>
            </w:r>
          </w:p>
        </w:tc>
      </w:tr>
      <w:tr w:rsidR="00244A26" w:rsidRPr="00244A26" w:rsidTr="00F43BDE">
        <w:tc>
          <w:tcPr>
            <w:tcW w:w="8296" w:type="dxa"/>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8.评论是否针对地方性情况</w:t>
            </w:r>
          </w:p>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0）否 1）是</w:t>
            </w:r>
          </w:p>
        </w:tc>
      </w:tr>
      <w:tr w:rsidR="00244A26" w:rsidRPr="00244A26" w:rsidTr="00244A26">
        <w:trPr>
          <w:trHeight w:val="152"/>
        </w:trPr>
        <w:tc>
          <w:tcPr>
            <w:tcW w:w="8296" w:type="dxa"/>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9.评论用语</w:t>
            </w:r>
          </w:p>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1）文明 2）不文明</w:t>
            </w:r>
          </w:p>
        </w:tc>
      </w:tr>
    </w:tbl>
    <w:p w:rsidR="00244A26" w:rsidRPr="00244A26" w:rsidRDefault="00244A26" w:rsidP="00A670FC">
      <w:pPr>
        <w:widowControl/>
        <w:ind w:firstLineChars="200" w:firstLine="422"/>
        <w:jc w:val="left"/>
        <w:rPr>
          <w:rFonts w:ascii="仿宋" w:eastAsia="仿宋" w:hAnsi="仿宋"/>
          <w:b/>
          <w:szCs w:val="28"/>
        </w:rPr>
      </w:pPr>
      <w:r w:rsidRPr="00244A26">
        <w:rPr>
          <w:rFonts w:ascii="仿宋" w:eastAsia="仿宋" w:hAnsi="仿宋" w:hint="eastAsia"/>
          <w:b/>
          <w:szCs w:val="28"/>
        </w:rPr>
        <w:t>（一）网民情感态度：认可财政透明度进步</w:t>
      </w:r>
    </w:p>
    <w:p w:rsidR="00244A26" w:rsidRPr="00244A26" w:rsidRDefault="00244A26" w:rsidP="00A670FC">
      <w:pPr>
        <w:ind w:firstLine="420"/>
        <w:rPr>
          <w:rFonts w:ascii="仿宋" w:eastAsia="仿宋" w:hAnsi="仿宋"/>
          <w:szCs w:val="24"/>
        </w:rPr>
      </w:pPr>
      <w:r w:rsidRPr="00244A26">
        <w:rPr>
          <w:rFonts w:ascii="仿宋" w:eastAsia="仿宋" w:hAnsi="仿宋" w:hint="eastAsia"/>
          <w:szCs w:val="24"/>
        </w:rPr>
        <w:t>从整体数据看，尽管这三份榜单披露出当前地方政府财政透明度仍需提高的现状，但对于已经取得的进步，网民总体上还是表现出认可的态度。表</w:t>
      </w:r>
      <w:r w:rsidRPr="00244A26">
        <w:rPr>
          <w:rFonts w:ascii="仿宋" w:eastAsia="仿宋" w:hAnsi="仿宋"/>
          <w:szCs w:val="24"/>
        </w:rPr>
        <w:t>3详细呈现了网民的这一心态。</w:t>
      </w:r>
    </w:p>
    <w:p w:rsidR="00244A26" w:rsidRPr="00244A26" w:rsidRDefault="00244A26" w:rsidP="00A670FC">
      <w:pPr>
        <w:ind w:firstLine="420"/>
        <w:jc w:val="center"/>
        <w:rPr>
          <w:rFonts w:ascii="仿宋" w:eastAsia="仿宋" w:hAnsi="仿宋"/>
          <w:szCs w:val="24"/>
        </w:rPr>
      </w:pPr>
      <w:r w:rsidRPr="00244A26">
        <w:rPr>
          <w:rFonts w:ascii="仿宋" w:eastAsia="仿宋" w:hAnsi="仿宋" w:hint="eastAsia"/>
          <w:szCs w:val="24"/>
        </w:rPr>
        <w:t>表</w:t>
      </w:r>
      <w:r w:rsidRPr="00244A26">
        <w:rPr>
          <w:rFonts w:ascii="仿宋" w:eastAsia="仿宋" w:hAnsi="仿宋"/>
          <w:szCs w:val="24"/>
        </w:rPr>
        <w:t>3</w:t>
      </w:r>
      <w:r w:rsidR="00A670FC">
        <w:rPr>
          <w:rFonts w:ascii="仿宋" w:eastAsia="仿宋" w:hAnsi="仿宋"/>
          <w:szCs w:val="24"/>
        </w:rPr>
        <w:t xml:space="preserve"> </w:t>
      </w:r>
      <w:r w:rsidRPr="00244A26">
        <w:rPr>
          <w:rFonts w:ascii="仿宋" w:eastAsia="仿宋" w:hAnsi="仿宋"/>
          <w:szCs w:val="24"/>
        </w:rPr>
        <w:t>网民对财政透明度的认可情况及其相关性</w:t>
      </w:r>
      <w:r w:rsidRPr="00244A26">
        <w:rPr>
          <w:rFonts w:ascii="仿宋" w:eastAsia="仿宋" w:hAnsi="仿宋"/>
          <w:szCs w:val="24"/>
        </w:rPr>
        <w:tab/>
      </w:r>
    </w:p>
    <w:tbl>
      <w:tblPr>
        <w:tblStyle w:val="af2"/>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47"/>
        <w:gridCol w:w="1869"/>
        <w:gridCol w:w="1869"/>
        <w:gridCol w:w="1869"/>
      </w:tblGrid>
      <w:tr w:rsidR="00244A26" w:rsidRPr="00244A26" w:rsidTr="00244A26">
        <w:tc>
          <w:tcPr>
            <w:tcW w:w="1242" w:type="dxa"/>
            <w:tcBorders>
              <w:top w:val="single" w:sz="12" w:space="0" w:color="auto"/>
              <w:bottom w:val="nil"/>
            </w:tcBorders>
          </w:tcPr>
          <w:p w:rsidR="00244A26" w:rsidRPr="00244A26" w:rsidRDefault="00244A26" w:rsidP="00A670FC">
            <w:pPr>
              <w:spacing w:line="0" w:lineRule="atLeast"/>
              <w:rPr>
                <w:rFonts w:ascii="仿宋" w:eastAsia="仿宋" w:hAnsi="仿宋"/>
                <w:sz w:val="18"/>
                <w:szCs w:val="18"/>
              </w:rPr>
            </w:pPr>
          </w:p>
        </w:tc>
        <w:tc>
          <w:tcPr>
            <w:tcW w:w="1447" w:type="dxa"/>
            <w:tcBorders>
              <w:top w:val="single" w:sz="12" w:space="0" w:color="auto"/>
              <w:bottom w:val="nil"/>
            </w:tcBorders>
          </w:tcPr>
          <w:p w:rsidR="00244A26" w:rsidRPr="00244A26" w:rsidRDefault="00244A26" w:rsidP="00A670FC">
            <w:pPr>
              <w:spacing w:line="0" w:lineRule="atLeast"/>
              <w:rPr>
                <w:rFonts w:ascii="仿宋" w:eastAsia="仿宋" w:hAnsi="仿宋"/>
                <w:sz w:val="18"/>
                <w:szCs w:val="18"/>
              </w:rPr>
            </w:pPr>
          </w:p>
        </w:tc>
        <w:tc>
          <w:tcPr>
            <w:tcW w:w="5607" w:type="dxa"/>
            <w:gridSpan w:val="3"/>
            <w:tcBorders>
              <w:top w:val="single" w:sz="12" w:space="0" w:color="auto"/>
              <w:bottom w:val="single" w:sz="8" w:space="0" w:color="auto"/>
            </w:tcBorders>
          </w:tcPr>
          <w:p w:rsidR="00244A26" w:rsidRPr="00244A26" w:rsidRDefault="00244A26" w:rsidP="00A670FC">
            <w:pPr>
              <w:spacing w:line="0" w:lineRule="atLeast"/>
              <w:jc w:val="center"/>
              <w:rPr>
                <w:rFonts w:ascii="仿宋" w:eastAsia="仿宋" w:hAnsi="仿宋"/>
                <w:sz w:val="18"/>
                <w:szCs w:val="18"/>
              </w:rPr>
            </w:pPr>
            <w:proofErr w:type="gramStart"/>
            <w:r w:rsidRPr="00244A26">
              <w:rPr>
                <w:rFonts w:ascii="仿宋" w:eastAsia="仿宋" w:hAnsi="仿宋" w:hint="eastAsia"/>
                <w:sz w:val="18"/>
                <w:szCs w:val="18"/>
              </w:rPr>
              <w:t>微博报道</w:t>
            </w:r>
            <w:proofErr w:type="gramEnd"/>
            <w:r w:rsidRPr="00244A26">
              <w:rPr>
                <w:rFonts w:ascii="仿宋" w:eastAsia="仿宋" w:hAnsi="仿宋" w:hint="eastAsia"/>
                <w:sz w:val="18"/>
                <w:szCs w:val="18"/>
              </w:rPr>
              <w:t>主体</w:t>
            </w:r>
          </w:p>
        </w:tc>
      </w:tr>
      <w:tr w:rsidR="00244A26" w:rsidRPr="00244A26" w:rsidTr="00244A26">
        <w:tc>
          <w:tcPr>
            <w:tcW w:w="1242" w:type="dxa"/>
            <w:tcBorders>
              <w:top w:val="nil"/>
              <w:bottom w:val="single" w:sz="12" w:space="0" w:color="auto"/>
            </w:tcBorders>
          </w:tcPr>
          <w:p w:rsidR="00244A26" w:rsidRPr="00244A26" w:rsidRDefault="00244A26" w:rsidP="00A670FC">
            <w:pPr>
              <w:spacing w:line="0" w:lineRule="atLeast"/>
              <w:rPr>
                <w:rFonts w:ascii="仿宋" w:eastAsia="仿宋" w:hAnsi="仿宋"/>
                <w:sz w:val="18"/>
                <w:szCs w:val="18"/>
              </w:rPr>
            </w:pPr>
          </w:p>
        </w:tc>
        <w:tc>
          <w:tcPr>
            <w:tcW w:w="1447" w:type="dxa"/>
            <w:tcBorders>
              <w:top w:val="nil"/>
              <w:bottom w:val="single" w:sz="12" w:space="0" w:color="auto"/>
            </w:tcBorders>
          </w:tcPr>
          <w:p w:rsidR="00244A26" w:rsidRPr="00244A26" w:rsidRDefault="00244A26" w:rsidP="00A670FC">
            <w:pPr>
              <w:spacing w:line="0" w:lineRule="atLeast"/>
              <w:rPr>
                <w:rFonts w:ascii="仿宋" w:eastAsia="仿宋" w:hAnsi="仿宋"/>
                <w:sz w:val="18"/>
                <w:szCs w:val="18"/>
              </w:rPr>
            </w:pPr>
          </w:p>
        </w:tc>
        <w:tc>
          <w:tcPr>
            <w:tcW w:w="1869" w:type="dxa"/>
            <w:tcBorders>
              <w:top w:val="single" w:sz="8" w:space="0" w:color="auto"/>
              <w:bottom w:val="single" w:sz="12" w:space="0" w:color="auto"/>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财政部榜单</w:t>
            </w:r>
          </w:p>
        </w:tc>
        <w:tc>
          <w:tcPr>
            <w:tcW w:w="1869" w:type="dxa"/>
            <w:tcBorders>
              <w:top w:val="single" w:sz="8" w:space="0" w:color="auto"/>
              <w:bottom w:val="single" w:sz="12" w:space="0" w:color="auto"/>
            </w:tcBorders>
          </w:tcPr>
          <w:p w:rsidR="00244A26" w:rsidRPr="00244A26" w:rsidRDefault="00244A26" w:rsidP="00A670FC">
            <w:pPr>
              <w:spacing w:line="0" w:lineRule="atLeast"/>
              <w:rPr>
                <w:rFonts w:ascii="仿宋" w:eastAsia="仿宋" w:hAnsi="仿宋"/>
                <w:sz w:val="18"/>
                <w:szCs w:val="18"/>
              </w:rPr>
            </w:pPr>
            <w:proofErr w:type="gramStart"/>
            <w:r w:rsidRPr="00244A26">
              <w:rPr>
                <w:rFonts w:ascii="仿宋" w:eastAsia="仿宋" w:hAnsi="仿宋" w:hint="eastAsia"/>
                <w:sz w:val="18"/>
                <w:szCs w:val="18"/>
              </w:rPr>
              <w:t>上财版榜单</w:t>
            </w:r>
            <w:proofErr w:type="gramEnd"/>
          </w:p>
        </w:tc>
        <w:tc>
          <w:tcPr>
            <w:tcW w:w="1869" w:type="dxa"/>
            <w:tcBorders>
              <w:top w:val="single" w:sz="8" w:space="0" w:color="auto"/>
              <w:bottom w:val="single" w:sz="12" w:space="0" w:color="auto"/>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清华版榜单</w:t>
            </w:r>
          </w:p>
        </w:tc>
      </w:tr>
      <w:tr w:rsidR="00244A26" w:rsidRPr="00244A26" w:rsidTr="00244A26">
        <w:trPr>
          <w:trHeight w:val="597"/>
        </w:trPr>
        <w:tc>
          <w:tcPr>
            <w:tcW w:w="1242" w:type="dxa"/>
            <w:vMerge w:val="restart"/>
            <w:tcBorders>
              <w:top w:val="single" w:sz="12" w:space="0" w:color="auto"/>
            </w:tcBorders>
            <w:vAlign w:val="center"/>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对财政透明度的认可情况</w:t>
            </w:r>
          </w:p>
        </w:tc>
        <w:tc>
          <w:tcPr>
            <w:tcW w:w="1447" w:type="dxa"/>
            <w:tcBorders>
              <w:top w:val="single" w:sz="12" w:space="0" w:color="auto"/>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认可</w:t>
            </w:r>
          </w:p>
        </w:tc>
        <w:tc>
          <w:tcPr>
            <w:tcW w:w="1869" w:type="dxa"/>
            <w:tcBorders>
              <w:top w:val="single" w:sz="12" w:space="0" w:color="auto"/>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75(</w:t>
            </w:r>
            <w:r w:rsidRPr="00244A26">
              <w:rPr>
                <w:rFonts w:ascii="仿宋" w:eastAsia="仿宋" w:hAnsi="仿宋"/>
                <w:sz w:val="18"/>
                <w:szCs w:val="18"/>
              </w:rPr>
              <w:t>42.4%</w:t>
            </w:r>
            <w:r w:rsidRPr="00244A26">
              <w:rPr>
                <w:rFonts w:ascii="仿宋" w:eastAsia="仿宋" w:hAnsi="仿宋" w:hint="eastAsia"/>
                <w:sz w:val="18"/>
                <w:szCs w:val="18"/>
              </w:rPr>
              <w:t>)</w:t>
            </w:r>
          </w:p>
        </w:tc>
        <w:tc>
          <w:tcPr>
            <w:tcW w:w="1869" w:type="dxa"/>
            <w:tcBorders>
              <w:top w:val="single" w:sz="12" w:space="0" w:color="auto"/>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154(</w:t>
            </w:r>
            <w:r w:rsidRPr="00244A26">
              <w:rPr>
                <w:rFonts w:ascii="仿宋" w:eastAsia="仿宋" w:hAnsi="仿宋"/>
                <w:sz w:val="18"/>
                <w:szCs w:val="18"/>
              </w:rPr>
              <w:t>49.7%</w:t>
            </w:r>
            <w:r w:rsidRPr="00244A26">
              <w:rPr>
                <w:rFonts w:ascii="仿宋" w:eastAsia="仿宋" w:hAnsi="仿宋" w:hint="eastAsia"/>
                <w:sz w:val="18"/>
                <w:szCs w:val="18"/>
              </w:rPr>
              <w:t>)</w:t>
            </w:r>
          </w:p>
        </w:tc>
        <w:tc>
          <w:tcPr>
            <w:tcW w:w="1869" w:type="dxa"/>
            <w:tcBorders>
              <w:top w:val="single" w:sz="12" w:space="0" w:color="auto"/>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1(</w:t>
            </w:r>
            <w:r w:rsidRPr="00244A26">
              <w:rPr>
                <w:rFonts w:ascii="仿宋" w:eastAsia="仿宋" w:hAnsi="仿宋"/>
                <w:sz w:val="18"/>
                <w:szCs w:val="18"/>
              </w:rPr>
              <w:t>25.0%</w:t>
            </w:r>
            <w:r w:rsidRPr="00244A26">
              <w:rPr>
                <w:rFonts w:ascii="仿宋" w:eastAsia="仿宋" w:hAnsi="仿宋" w:hint="eastAsia"/>
                <w:sz w:val="18"/>
                <w:szCs w:val="18"/>
              </w:rPr>
              <w:t>)</w:t>
            </w:r>
          </w:p>
        </w:tc>
      </w:tr>
      <w:tr w:rsidR="00244A26" w:rsidRPr="00244A26" w:rsidTr="00244A26">
        <w:trPr>
          <w:trHeight w:val="597"/>
        </w:trPr>
        <w:tc>
          <w:tcPr>
            <w:tcW w:w="1242" w:type="dxa"/>
            <w:vMerge/>
            <w:tcBorders>
              <w:top w:val="single" w:sz="12" w:space="0" w:color="auto"/>
            </w:tcBorders>
          </w:tcPr>
          <w:p w:rsidR="00244A26" w:rsidRPr="00244A26" w:rsidRDefault="00244A26" w:rsidP="00A670FC">
            <w:pPr>
              <w:spacing w:line="0" w:lineRule="atLeast"/>
              <w:jc w:val="center"/>
              <w:rPr>
                <w:rFonts w:ascii="仿宋" w:eastAsia="仿宋" w:hAnsi="仿宋"/>
                <w:sz w:val="18"/>
                <w:szCs w:val="18"/>
              </w:rPr>
            </w:pPr>
          </w:p>
        </w:tc>
        <w:tc>
          <w:tcPr>
            <w:tcW w:w="1447" w:type="dxa"/>
            <w:tcBorders>
              <w:top w:val="nil"/>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中立</w:t>
            </w:r>
          </w:p>
        </w:tc>
        <w:tc>
          <w:tcPr>
            <w:tcW w:w="1869" w:type="dxa"/>
            <w:tcBorders>
              <w:top w:val="nil"/>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35(</w:t>
            </w:r>
            <w:r w:rsidRPr="00244A26">
              <w:rPr>
                <w:rFonts w:ascii="仿宋" w:eastAsia="仿宋" w:hAnsi="仿宋"/>
                <w:sz w:val="18"/>
                <w:szCs w:val="18"/>
              </w:rPr>
              <w:t>19.8%</w:t>
            </w:r>
            <w:r w:rsidRPr="00244A26">
              <w:rPr>
                <w:rFonts w:ascii="仿宋" w:eastAsia="仿宋" w:hAnsi="仿宋" w:hint="eastAsia"/>
                <w:sz w:val="18"/>
                <w:szCs w:val="18"/>
              </w:rPr>
              <w:t>)</w:t>
            </w:r>
          </w:p>
        </w:tc>
        <w:tc>
          <w:tcPr>
            <w:tcW w:w="1869" w:type="dxa"/>
            <w:tcBorders>
              <w:top w:val="nil"/>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sz w:val="18"/>
                <w:szCs w:val="18"/>
              </w:rPr>
              <w:t>103</w:t>
            </w:r>
            <w:r w:rsidRPr="00244A26">
              <w:rPr>
                <w:rFonts w:ascii="仿宋" w:eastAsia="仿宋" w:hAnsi="仿宋" w:hint="eastAsia"/>
                <w:sz w:val="18"/>
                <w:szCs w:val="18"/>
              </w:rPr>
              <w:t>(</w:t>
            </w:r>
            <w:r w:rsidRPr="00244A26">
              <w:rPr>
                <w:rFonts w:ascii="仿宋" w:eastAsia="仿宋" w:hAnsi="仿宋"/>
                <w:sz w:val="18"/>
                <w:szCs w:val="18"/>
              </w:rPr>
              <w:t>33.2%</w:t>
            </w:r>
            <w:r w:rsidRPr="00244A26">
              <w:rPr>
                <w:rFonts w:ascii="仿宋" w:eastAsia="仿宋" w:hAnsi="仿宋" w:hint="eastAsia"/>
                <w:sz w:val="18"/>
                <w:szCs w:val="18"/>
              </w:rPr>
              <w:t>)</w:t>
            </w:r>
          </w:p>
        </w:tc>
        <w:tc>
          <w:tcPr>
            <w:tcW w:w="1869" w:type="dxa"/>
            <w:tcBorders>
              <w:top w:val="nil"/>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0(</w:t>
            </w:r>
            <w:r w:rsidRPr="00244A26">
              <w:rPr>
                <w:rFonts w:ascii="仿宋" w:eastAsia="仿宋" w:hAnsi="仿宋"/>
                <w:sz w:val="18"/>
                <w:szCs w:val="18"/>
              </w:rPr>
              <w:t>0%</w:t>
            </w:r>
            <w:r w:rsidRPr="00244A26">
              <w:rPr>
                <w:rFonts w:ascii="仿宋" w:eastAsia="仿宋" w:hAnsi="仿宋" w:hint="eastAsia"/>
                <w:sz w:val="18"/>
                <w:szCs w:val="18"/>
              </w:rPr>
              <w:t>)</w:t>
            </w:r>
          </w:p>
        </w:tc>
      </w:tr>
      <w:tr w:rsidR="00244A26" w:rsidRPr="00244A26" w:rsidTr="00244A26">
        <w:tc>
          <w:tcPr>
            <w:tcW w:w="1242" w:type="dxa"/>
            <w:vMerge/>
            <w:tcBorders>
              <w:bottom w:val="nil"/>
            </w:tcBorders>
          </w:tcPr>
          <w:p w:rsidR="00244A26" w:rsidRPr="00244A26" w:rsidRDefault="00244A26" w:rsidP="00A670FC">
            <w:pPr>
              <w:spacing w:line="0" w:lineRule="atLeast"/>
              <w:rPr>
                <w:rFonts w:ascii="仿宋" w:eastAsia="仿宋" w:hAnsi="仿宋"/>
                <w:sz w:val="18"/>
                <w:szCs w:val="18"/>
              </w:rPr>
            </w:pPr>
          </w:p>
        </w:tc>
        <w:tc>
          <w:tcPr>
            <w:tcW w:w="1447" w:type="dxa"/>
            <w:tcBorders>
              <w:top w:val="nil"/>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否定</w:t>
            </w:r>
          </w:p>
        </w:tc>
        <w:tc>
          <w:tcPr>
            <w:tcW w:w="1869" w:type="dxa"/>
            <w:tcBorders>
              <w:top w:val="nil"/>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67%（37.9%）</w:t>
            </w:r>
          </w:p>
        </w:tc>
        <w:tc>
          <w:tcPr>
            <w:tcW w:w="1869" w:type="dxa"/>
            <w:tcBorders>
              <w:top w:val="nil"/>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53（17.1%）</w:t>
            </w:r>
          </w:p>
        </w:tc>
        <w:tc>
          <w:tcPr>
            <w:tcW w:w="1869" w:type="dxa"/>
            <w:tcBorders>
              <w:top w:val="nil"/>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3（75.0%）</w:t>
            </w:r>
          </w:p>
        </w:tc>
      </w:tr>
      <w:tr w:rsidR="00244A26" w:rsidRPr="00244A26" w:rsidTr="00244A26">
        <w:tc>
          <w:tcPr>
            <w:tcW w:w="1242" w:type="dxa"/>
            <w:tcBorders>
              <w:top w:val="nil"/>
              <w:bottom w:val="single" w:sz="12" w:space="0" w:color="auto"/>
            </w:tcBorders>
          </w:tcPr>
          <w:p w:rsidR="00244A26" w:rsidRPr="00244A26" w:rsidRDefault="00244A26" w:rsidP="00A670FC">
            <w:pPr>
              <w:spacing w:line="0" w:lineRule="atLeast"/>
              <w:rPr>
                <w:rFonts w:ascii="仿宋" w:eastAsia="仿宋" w:hAnsi="仿宋"/>
                <w:sz w:val="18"/>
                <w:szCs w:val="18"/>
              </w:rPr>
            </w:pPr>
          </w:p>
        </w:tc>
        <w:tc>
          <w:tcPr>
            <w:tcW w:w="1447" w:type="dxa"/>
            <w:tcBorders>
              <w:top w:val="single" w:sz="8" w:space="0" w:color="auto"/>
              <w:bottom w:val="single" w:sz="12" w:space="0" w:color="auto"/>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相关性检验</w:t>
            </w:r>
          </w:p>
        </w:tc>
        <w:tc>
          <w:tcPr>
            <w:tcW w:w="5607" w:type="dxa"/>
            <w:gridSpan w:val="3"/>
            <w:tcBorders>
              <w:top w:val="single" w:sz="8" w:space="0" w:color="auto"/>
              <w:bottom w:val="single" w:sz="12" w:space="0" w:color="auto"/>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sz w:val="18"/>
                <w:szCs w:val="18"/>
              </w:rPr>
              <w:t>χ</w:t>
            </w:r>
            <w:r w:rsidRPr="00244A26">
              <w:rPr>
                <w:rFonts w:ascii="仿宋" w:eastAsia="仿宋" w:hAnsi="仿宋"/>
                <w:sz w:val="18"/>
                <w:szCs w:val="18"/>
                <w:vertAlign w:val="superscript"/>
              </w:rPr>
              <w:t xml:space="preserve">2 </w:t>
            </w:r>
            <w:r w:rsidRPr="00244A26">
              <w:rPr>
                <w:rFonts w:ascii="仿宋" w:eastAsia="仿宋" w:hAnsi="仿宋"/>
                <w:sz w:val="18"/>
                <w:szCs w:val="18"/>
              </w:rPr>
              <w:t>=33.475，</w:t>
            </w:r>
            <w:proofErr w:type="spellStart"/>
            <w:r w:rsidRPr="00244A26">
              <w:rPr>
                <w:rFonts w:ascii="仿宋" w:eastAsia="仿宋" w:hAnsi="仿宋"/>
                <w:sz w:val="18"/>
                <w:szCs w:val="18"/>
              </w:rPr>
              <w:t>df</w:t>
            </w:r>
            <w:proofErr w:type="spellEnd"/>
            <w:r w:rsidRPr="00244A26">
              <w:rPr>
                <w:rFonts w:ascii="仿宋" w:eastAsia="仿宋" w:hAnsi="仿宋"/>
                <w:sz w:val="18"/>
                <w:szCs w:val="18"/>
              </w:rPr>
              <w:t>=4，p=0.000</w:t>
            </w:r>
            <w:r w:rsidRPr="00244A26">
              <w:rPr>
                <w:rFonts w:ascii="仿宋" w:eastAsia="仿宋" w:hAnsi="仿宋" w:hint="eastAsia"/>
                <w:sz w:val="18"/>
                <w:szCs w:val="18"/>
              </w:rPr>
              <w:t>；</w:t>
            </w:r>
          </w:p>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Gamma=0.219（对称），p</w:t>
            </w:r>
            <w:r w:rsidRPr="00244A26">
              <w:rPr>
                <w:rFonts w:ascii="仿宋" w:eastAsia="仿宋" w:hAnsi="仿宋"/>
                <w:sz w:val="18"/>
                <w:szCs w:val="18"/>
              </w:rPr>
              <w:t>=</w:t>
            </w:r>
            <w:r w:rsidRPr="00244A26">
              <w:rPr>
                <w:rFonts w:ascii="仿宋" w:eastAsia="仿宋" w:hAnsi="仿宋" w:hint="eastAsia"/>
                <w:sz w:val="18"/>
                <w:szCs w:val="18"/>
              </w:rPr>
              <w:t>0</w:t>
            </w:r>
            <w:r w:rsidRPr="00244A26">
              <w:rPr>
                <w:rFonts w:ascii="仿宋" w:eastAsia="仿宋" w:hAnsi="仿宋"/>
                <w:sz w:val="18"/>
                <w:szCs w:val="18"/>
              </w:rPr>
              <w:t>.00</w:t>
            </w:r>
            <w:r w:rsidRPr="00244A26">
              <w:rPr>
                <w:rFonts w:ascii="仿宋" w:eastAsia="仿宋" w:hAnsi="仿宋" w:hint="eastAsia"/>
                <w:sz w:val="18"/>
                <w:szCs w:val="18"/>
              </w:rPr>
              <w:t>6</w:t>
            </w:r>
            <w:r w:rsidRPr="00244A26">
              <w:rPr>
                <w:rFonts w:ascii="仿宋" w:eastAsia="仿宋" w:hAnsi="仿宋"/>
                <w:sz w:val="18"/>
                <w:szCs w:val="18"/>
              </w:rPr>
              <w:t>.</w:t>
            </w:r>
          </w:p>
        </w:tc>
      </w:tr>
    </w:tbl>
    <w:p w:rsidR="00244A26" w:rsidRPr="00244A26" w:rsidRDefault="00244A26" w:rsidP="00A670FC">
      <w:pPr>
        <w:ind w:firstLine="420"/>
        <w:rPr>
          <w:rFonts w:ascii="仿宋" w:eastAsia="仿宋" w:hAnsi="仿宋"/>
          <w:szCs w:val="24"/>
        </w:rPr>
      </w:pPr>
      <w:r w:rsidRPr="00244A26">
        <w:rPr>
          <w:rFonts w:ascii="仿宋" w:eastAsia="仿宋" w:hAnsi="仿宋" w:hint="eastAsia"/>
          <w:szCs w:val="24"/>
        </w:rPr>
        <w:t>由表2-</w:t>
      </w:r>
      <w:r w:rsidRPr="00244A26">
        <w:rPr>
          <w:rFonts w:ascii="仿宋" w:eastAsia="仿宋" w:hAnsi="仿宋"/>
          <w:szCs w:val="24"/>
        </w:rPr>
        <w:t>3可以看出，三份榜单公布后，网民对于我国地方财政透明度现状总体都较为满意，认可财政透明度进步的占绝大多数。而在三份榜单中，正面舆论效果最好的是</w:t>
      </w:r>
      <w:proofErr w:type="gramStart"/>
      <w:r w:rsidRPr="00244A26">
        <w:rPr>
          <w:rFonts w:ascii="仿宋" w:eastAsia="仿宋" w:hAnsi="仿宋"/>
          <w:szCs w:val="24"/>
        </w:rPr>
        <w:t>上财版榜单</w:t>
      </w:r>
      <w:proofErr w:type="gramEnd"/>
      <w:r w:rsidRPr="00244A26">
        <w:rPr>
          <w:rFonts w:ascii="仿宋" w:eastAsia="仿宋" w:hAnsi="仿宋"/>
          <w:szCs w:val="24"/>
        </w:rPr>
        <w:t>，财政部榜单紧随其后。而清华版榜单由于收到的网友评论过少，一定程度上存在着数据的误差。</w:t>
      </w:r>
    </w:p>
    <w:p w:rsidR="00244A26" w:rsidRPr="00244A26" w:rsidRDefault="00244A26" w:rsidP="00A670FC">
      <w:pPr>
        <w:widowControl/>
        <w:ind w:firstLineChars="200" w:firstLine="422"/>
        <w:jc w:val="left"/>
        <w:rPr>
          <w:rFonts w:ascii="仿宋" w:eastAsia="仿宋" w:hAnsi="仿宋"/>
          <w:b/>
          <w:szCs w:val="28"/>
        </w:rPr>
      </w:pPr>
      <w:r w:rsidRPr="00244A26">
        <w:rPr>
          <w:rFonts w:ascii="仿宋" w:eastAsia="仿宋" w:hAnsi="仿宋" w:hint="eastAsia"/>
          <w:b/>
          <w:szCs w:val="28"/>
        </w:rPr>
        <w:t>（二）网民心态特征：更关心本地情况</w:t>
      </w:r>
    </w:p>
    <w:p w:rsidR="00244A26" w:rsidRPr="00244A26" w:rsidRDefault="00244A26" w:rsidP="00A670FC">
      <w:pPr>
        <w:ind w:firstLine="420"/>
        <w:rPr>
          <w:rFonts w:ascii="仿宋" w:eastAsia="仿宋" w:hAnsi="仿宋"/>
          <w:szCs w:val="24"/>
        </w:rPr>
      </w:pPr>
      <w:r w:rsidRPr="00244A26">
        <w:rPr>
          <w:rFonts w:ascii="仿宋" w:eastAsia="仿宋" w:hAnsi="仿宋" w:hint="eastAsia"/>
          <w:szCs w:val="24"/>
        </w:rPr>
        <w:t>三份衡量地方财政透明度的榜单给了一般网民了解全国各地财政透明化发展水平的客观渠道。而对网民评论的数据分析显示，比起了解全国整体财政透明水平如何，一般网民更关心自己所处地区的财政透明度位居全国哪一位置。</w:t>
      </w:r>
    </w:p>
    <w:p w:rsidR="00244A26" w:rsidRPr="00244A26" w:rsidRDefault="00244A26" w:rsidP="00244A26">
      <w:pPr>
        <w:ind w:firstLine="420"/>
        <w:jc w:val="center"/>
        <w:rPr>
          <w:rFonts w:ascii="仿宋" w:eastAsia="仿宋" w:hAnsi="仿宋"/>
          <w:szCs w:val="24"/>
        </w:rPr>
      </w:pPr>
      <w:r w:rsidRPr="00244A26">
        <w:rPr>
          <w:rFonts w:ascii="仿宋" w:eastAsia="仿宋" w:hAnsi="仿宋" w:hint="eastAsia"/>
          <w:szCs w:val="24"/>
        </w:rPr>
        <w:t>表</w:t>
      </w:r>
      <w:r w:rsidRPr="00244A26">
        <w:rPr>
          <w:rFonts w:ascii="仿宋" w:eastAsia="仿宋" w:hAnsi="仿宋"/>
          <w:szCs w:val="24"/>
        </w:rPr>
        <w:t>4</w:t>
      </w:r>
      <w:r w:rsidR="00A670FC">
        <w:rPr>
          <w:rFonts w:ascii="仿宋" w:eastAsia="仿宋" w:hAnsi="仿宋"/>
          <w:szCs w:val="24"/>
        </w:rPr>
        <w:t xml:space="preserve"> </w:t>
      </w:r>
      <w:r w:rsidRPr="00244A26">
        <w:rPr>
          <w:rFonts w:ascii="仿宋" w:eastAsia="仿宋" w:hAnsi="仿宋"/>
          <w:szCs w:val="24"/>
        </w:rPr>
        <w:t>网民对地区性情况的关注分布及其相关性</w:t>
      </w:r>
    </w:p>
    <w:tbl>
      <w:tblPr>
        <w:tblStyle w:val="af2"/>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0"/>
        <w:gridCol w:w="1869"/>
        <w:gridCol w:w="1869"/>
        <w:gridCol w:w="1869"/>
      </w:tblGrid>
      <w:tr w:rsidR="00244A26" w:rsidRPr="00244A26" w:rsidTr="00F43BDE">
        <w:tc>
          <w:tcPr>
            <w:tcW w:w="1129" w:type="dxa"/>
            <w:tcBorders>
              <w:top w:val="single" w:sz="12" w:space="0" w:color="auto"/>
              <w:bottom w:val="nil"/>
            </w:tcBorders>
          </w:tcPr>
          <w:p w:rsidR="00244A26" w:rsidRPr="00244A26" w:rsidRDefault="00244A26" w:rsidP="00244A26">
            <w:pPr>
              <w:rPr>
                <w:rFonts w:ascii="仿宋" w:eastAsia="仿宋" w:hAnsi="仿宋"/>
                <w:sz w:val="18"/>
                <w:szCs w:val="18"/>
              </w:rPr>
            </w:pPr>
          </w:p>
        </w:tc>
        <w:tc>
          <w:tcPr>
            <w:tcW w:w="1560" w:type="dxa"/>
            <w:tcBorders>
              <w:top w:val="single" w:sz="12" w:space="0" w:color="auto"/>
              <w:bottom w:val="nil"/>
            </w:tcBorders>
          </w:tcPr>
          <w:p w:rsidR="00244A26" w:rsidRPr="00244A26" w:rsidRDefault="00244A26" w:rsidP="00244A26">
            <w:pPr>
              <w:rPr>
                <w:rFonts w:ascii="仿宋" w:eastAsia="仿宋" w:hAnsi="仿宋"/>
                <w:sz w:val="18"/>
                <w:szCs w:val="18"/>
              </w:rPr>
            </w:pPr>
          </w:p>
        </w:tc>
        <w:tc>
          <w:tcPr>
            <w:tcW w:w="5607" w:type="dxa"/>
            <w:gridSpan w:val="3"/>
            <w:tcBorders>
              <w:top w:val="single" w:sz="12" w:space="0" w:color="auto"/>
              <w:bottom w:val="single" w:sz="8" w:space="0" w:color="auto"/>
            </w:tcBorders>
          </w:tcPr>
          <w:p w:rsidR="00244A26" w:rsidRPr="00244A26" w:rsidRDefault="00244A26" w:rsidP="00244A26">
            <w:pPr>
              <w:jc w:val="center"/>
              <w:rPr>
                <w:rFonts w:ascii="仿宋" w:eastAsia="仿宋" w:hAnsi="仿宋"/>
                <w:sz w:val="18"/>
                <w:szCs w:val="18"/>
              </w:rPr>
            </w:pPr>
            <w:proofErr w:type="gramStart"/>
            <w:r w:rsidRPr="00244A26">
              <w:rPr>
                <w:rFonts w:ascii="仿宋" w:eastAsia="仿宋" w:hAnsi="仿宋" w:hint="eastAsia"/>
                <w:sz w:val="18"/>
                <w:szCs w:val="18"/>
              </w:rPr>
              <w:t>微博报道</w:t>
            </w:r>
            <w:proofErr w:type="gramEnd"/>
            <w:r w:rsidRPr="00244A26">
              <w:rPr>
                <w:rFonts w:ascii="仿宋" w:eastAsia="仿宋" w:hAnsi="仿宋" w:hint="eastAsia"/>
                <w:sz w:val="18"/>
                <w:szCs w:val="18"/>
              </w:rPr>
              <w:t>主体</w:t>
            </w:r>
          </w:p>
        </w:tc>
      </w:tr>
      <w:tr w:rsidR="00244A26" w:rsidRPr="00244A26" w:rsidTr="00F43BDE">
        <w:tc>
          <w:tcPr>
            <w:tcW w:w="1129" w:type="dxa"/>
            <w:tcBorders>
              <w:top w:val="nil"/>
              <w:bottom w:val="single" w:sz="12" w:space="0" w:color="auto"/>
            </w:tcBorders>
          </w:tcPr>
          <w:p w:rsidR="00244A26" w:rsidRPr="00244A26" w:rsidRDefault="00244A26" w:rsidP="00244A26">
            <w:pPr>
              <w:rPr>
                <w:rFonts w:ascii="仿宋" w:eastAsia="仿宋" w:hAnsi="仿宋"/>
                <w:sz w:val="18"/>
                <w:szCs w:val="18"/>
              </w:rPr>
            </w:pPr>
          </w:p>
        </w:tc>
        <w:tc>
          <w:tcPr>
            <w:tcW w:w="1560" w:type="dxa"/>
            <w:tcBorders>
              <w:top w:val="nil"/>
              <w:bottom w:val="single" w:sz="12" w:space="0" w:color="auto"/>
            </w:tcBorders>
          </w:tcPr>
          <w:p w:rsidR="00244A26" w:rsidRPr="00244A26" w:rsidRDefault="00244A26" w:rsidP="00244A26">
            <w:pPr>
              <w:rPr>
                <w:rFonts w:ascii="仿宋" w:eastAsia="仿宋" w:hAnsi="仿宋"/>
                <w:sz w:val="18"/>
                <w:szCs w:val="18"/>
              </w:rPr>
            </w:pPr>
          </w:p>
        </w:tc>
        <w:tc>
          <w:tcPr>
            <w:tcW w:w="1869" w:type="dxa"/>
            <w:tcBorders>
              <w:top w:val="single" w:sz="8" w:space="0" w:color="auto"/>
              <w:bottom w:val="single" w:sz="12" w:space="0" w:color="auto"/>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财政部榜单</w:t>
            </w:r>
          </w:p>
        </w:tc>
        <w:tc>
          <w:tcPr>
            <w:tcW w:w="1869" w:type="dxa"/>
            <w:tcBorders>
              <w:top w:val="single" w:sz="8" w:space="0" w:color="auto"/>
              <w:bottom w:val="single" w:sz="12" w:space="0" w:color="auto"/>
            </w:tcBorders>
          </w:tcPr>
          <w:p w:rsidR="00244A26" w:rsidRPr="00244A26" w:rsidRDefault="00244A26" w:rsidP="00244A26">
            <w:pPr>
              <w:rPr>
                <w:rFonts w:ascii="仿宋" w:eastAsia="仿宋" w:hAnsi="仿宋"/>
                <w:sz w:val="18"/>
                <w:szCs w:val="18"/>
              </w:rPr>
            </w:pPr>
            <w:proofErr w:type="gramStart"/>
            <w:r w:rsidRPr="00244A26">
              <w:rPr>
                <w:rFonts w:ascii="仿宋" w:eastAsia="仿宋" w:hAnsi="仿宋" w:hint="eastAsia"/>
                <w:sz w:val="18"/>
                <w:szCs w:val="18"/>
              </w:rPr>
              <w:t>上财版榜单</w:t>
            </w:r>
            <w:proofErr w:type="gramEnd"/>
          </w:p>
        </w:tc>
        <w:tc>
          <w:tcPr>
            <w:tcW w:w="1869" w:type="dxa"/>
            <w:tcBorders>
              <w:top w:val="single" w:sz="8" w:space="0" w:color="auto"/>
              <w:bottom w:val="single" w:sz="12" w:space="0" w:color="auto"/>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清华版榜单</w:t>
            </w:r>
          </w:p>
        </w:tc>
      </w:tr>
      <w:tr w:rsidR="00244A26" w:rsidRPr="00244A26" w:rsidTr="00F43BDE">
        <w:tc>
          <w:tcPr>
            <w:tcW w:w="1129" w:type="dxa"/>
            <w:tcBorders>
              <w:top w:val="single" w:sz="12" w:space="0" w:color="auto"/>
              <w:bottom w:val="nil"/>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针对主体</w:t>
            </w:r>
          </w:p>
        </w:tc>
        <w:tc>
          <w:tcPr>
            <w:tcW w:w="1560" w:type="dxa"/>
            <w:tcBorders>
              <w:top w:val="single" w:sz="12" w:space="0" w:color="auto"/>
              <w:bottom w:val="nil"/>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特定地区</w:t>
            </w:r>
          </w:p>
        </w:tc>
        <w:tc>
          <w:tcPr>
            <w:tcW w:w="1869" w:type="dxa"/>
            <w:tcBorders>
              <w:top w:val="single" w:sz="12" w:space="0" w:color="auto"/>
              <w:bottom w:val="nil"/>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126(71.2%)</w:t>
            </w:r>
          </w:p>
        </w:tc>
        <w:tc>
          <w:tcPr>
            <w:tcW w:w="1869" w:type="dxa"/>
            <w:tcBorders>
              <w:top w:val="single" w:sz="12" w:space="0" w:color="auto"/>
              <w:bottom w:val="nil"/>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239 (75.2%)</w:t>
            </w:r>
          </w:p>
        </w:tc>
        <w:tc>
          <w:tcPr>
            <w:tcW w:w="1869" w:type="dxa"/>
            <w:tcBorders>
              <w:top w:val="single" w:sz="12" w:space="0" w:color="auto"/>
              <w:bottom w:val="nil"/>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3(75.0%)</w:t>
            </w:r>
          </w:p>
        </w:tc>
      </w:tr>
      <w:tr w:rsidR="00244A26" w:rsidRPr="00244A26" w:rsidTr="00F43BDE">
        <w:tc>
          <w:tcPr>
            <w:tcW w:w="1129" w:type="dxa"/>
            <w:tcBorders>
              <w:top w:val="nil"/>
              <w:bottom w:val="nil"/>
            </w:tcBorders>
          </w:tcPr>
          <w:p w:rsidR="00244A26" w:rsidRPr="00244A26" w:rsidRDefault="00244A26" w:rsidP="00244A26">
            <w:pPr>
              <w:rPr>
                <w:rFonts w:ascii="仿宋" w:eastAsia="仿宋" w:hAnsi="仿宋"/>
                <w:sz w:val="18"/>
                <w:szCs w:val="18"/>
              </w:rPr>
            </w:pPr>
          </w:p>
        </w:tc>
        <w:tc>
          <w:tcPr>
            <w:tcW w:w="1560" w:type="dxa"/>
            <w:tcBorders>
              <w:top w:val="nil"/>
              <w:bottom w:val="nil"/>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非特</w:t>
            </w:r>
            <w:proofErr w:type="gramStart"/>
            <w:r w:rsidRPr="00244A26">
              <w:rPr>
                <w:rFonts w:ascii="仿宋" w:eastAsia="仿宋" w:hAnsi="仿宋" w:hint="eastAsia"/>
                <w:sz w:val="18"/>
                <w:szCs w:val="18"/>
              </w:rPr>
              <w:t>定地区</w:t>
            </w:r>
            <w:proofErr w:type="gramEnd"/>
          </w:p>
        </w:tc>
        <w:tc>
          <w:tcPr>
            <w:tcW w:w="1869" w:type="dxa"/>
            <w:tcBorders>
              <w:top w:val="nil"/>
              <w:bottom w:val="nil"/>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51(28.8%)</w:t>
            </w:r>
          </w:p>
        </w:tc>
        <w:tc>
          <w:tcPr>
            <w:tcW w:w="1869" w:type="dxa"/>
            <w:tcBorders>
              <w:top w:val="nil"/>
              <w:bottom w:val="nil"/>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79 (24.8%)</w:t>
            </w:r>
          </w:p>
        </w:tc>
        <w:tc>
          <w:tcPr>
            <w:tcW w:w="1869" w:type="dxa"/>
            <w:tcBorders>
              <w:top w:val="nil"/>
              <w:bottom w:val="nil"/>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1(25.0%)</w:t>
            </w:r>
          </w:p>
        </w:tc>
      </w:tr>
      <w:tr w:rsidR="00244A26" w:rsidRPr="00244A26" w:rsidTr="00F43BDE">
        <w:tc>
          <w:tcPr>
            <w:tcW w:w="1129" w:type="dxa"/>
            <w:tcBorders>
              <w:top w:val="nil"/>
              <w:bottom w:val="single" w:sz="12" w:space="0" w:color="auto"/>
            </w:tcBorders>
          </w:tcPr>
          <w:p w:rsidR="00244A26" w:rsidRPr="00244A26" w:rsidRDefault="00244A26" w:rsidP="00244A26">
            <w:pPr>
              <w:rPr>
                <w:rFonts w:ascii="仿宋" w:eastAsia="仿宋" w:hAnsi="仿宋"/>
                <w:sz w:val="18"/>
                <w:szCs w:val="18"/>
              </w:rPr>
            </w:pPr>
          </w:p>
        </w:tc>
        <w:tc>
          <w:tcPr>
            <w:tcW w:w="1560" w:type="dxa"/>
            <w:tcBorders>
              <w:top w:val="single" w:sz="8" w:space="0" w:color="auto"/>
              <w:bottom w:val="single" w:sz="12" w:space="0" w:color="auto"/>
            </w:tcBorders>
          </w:tcPr>
          <w:p w:rsidR="00244A26" w:rsidRPr="00244A26" w:rsidRDefault="00244A26" w:rsidP="00244A26">
            <w:pPr>
              <w:rPr>
                <w:rFonts w:ascii="仿宋" w:eastAsia="仿宋" w:hAnsi="仿宋"/>
                <w:sz w:val="18"/>
                <w:szCs w:val="18"/>
              </w:rPr>
            </w:pPr>
            <w:r w:rsidRPr="00244A26">
              <w:rPr>
                <w:rFonts w:ascii="仿宋" w:eastAsia="仿宋" w:hAnsi="仿宋" w:hint="eastAsia"/>
                <w:sz w:val="18"/>
                <w:szCs w:val="18"/>
              </w:rPr>
              <w:t>相关性检验</w:t>
            </w:r>
          </w:p>
        </w:tc>
        <w:tc>
          <w:tcPr>
            <w:tcW w:w="5607" w:type="dxa"/>
            <w:gridSpan w:val="3"/>
            <w:tcBorders>
              <w:top w:val="single" w:sz="8" w:space="0" w:color="auto"/>
              <w:bottom w:val="single" w:sz="12" w:space="0" w:color="auto"/>
            </w:tcBorders>
          </w:tcPr>
          <w:p w:rsidR="00244A26" w:rsidRPr="00244A26" w:rsidRDefault="00244A26" w:rsidP="00244A26">
            <w:pPr>
              <w:jc w:val="center"/>
              <w:rPr>
                <w:rFonts w:ascii="仿宋" w:eastAsia="仿宋" w:hAnsi="仿宋"/>
                <w:sz w:val="18"/>
                <w:szCs w:val="18"/>
              </w:rPr>
            </w:pPr>
            <w:r w:rsidRPr="00244A26">
              <w:rPr>
                <w:rFonts w:ascii="仿宋" w:eastAsia="仿宋" w:hAnsi="仿宋"/>
                <w:sz w:val="18"/>
                <w:szCs w:val="18"/>
              </w:rPr>
              <w:t>χ</w:t>
            </w:r>
            <w:r w:rsidRPr="00244A26">
              <w:rPr>
                <w:rFonts w:ascii="仿宋" w:eastAsia="仿宋" w:hAnsi="仿宋"/>
                <w:sz w:val="18"/>
                <w:szCs w:val="18"/>
                <w:vertAlign w:val="superscript"/>
              </w:rPr>
              <w:t xml:space="preserve">2 </w:t>
            </w:r>
            <w:r w:rsidRPr="00244A26">
              <w:rPr>
                <w:rFonts w:ascii="仿宋" w:eastAsia="仿宋" w:hAnsi="仿宋"/>
                <w:sz w:val="18"/>
                <w:szCs w:val="18"/>
              </w:rPr>
              <w:t>=</w:t>
            </w:r>
            <w:r w:rsidRPr="00244A26">
              <w:rPr>
                <w:rFonts w:ascii="仿宋" w:eastAsia="仿宋" w:hAnsi="仿宋" w:hint="eastAsia"/>
                <w:sz w:val="18"/>
                <w:szCs w:val="18"/>
              </w:rPr>
              <w:t>0.644</w:t>
            </w:r>
            <w:r w:rsidRPr="00244A26">
              <w:rPr>
                <w:rFonts w:ascii="仿宋" w:eastAsia="仿宋" w:hAnsi="仿宋"/>
                <w:sz w:val="18"/>
                <w:szCs w:val="18"/>
              </w:rPr>
              <w:t>，</w:t>
            </w:r>
            <w:proofErr w:type="spellStart"/>
            <w:r w:rsidRPr="00244A26">
              <w:rPr>
                <w:rFonts w:ascii="仿宋" w:eastAsia="仿宋" w:hAnsi="仿宋"/>
                <w:sz w:val="18"/>
                <w:szCs w:val="18"/>
              </w:rPr>
              <w:t>df</w:t>
            </w:r>
            <w:proofErr w:type="spellEnd"/>
            <w:r w:rsidRPr="00244A26">
              <w:rPr>
                <w:rFonts w:ascii="仿宋" w:eastAsia="仿宋" w:hAnsi="仿宋"/>
                <w:sz w:val="18"/>
                <w:szCs w:val="18"/>
              </w:rPr>
              <w:t>=</w:t>
            </w:r>
            <w:r w:rsidRPr="00244A26">
              <w:rPr>
                <w:rFonts w:ascii="仿宋" w:eastAsia="仿宋" w:hAnsi="仿宋" w:hint="eastAsia"/>
                <w:sz w:val="18"/>
                <w:szCs w:val="18"/>
              </w:rPr>
              <w:t>2</w:t>
            </w:r>
            <w:r w:rsidRPr="00244A26">
              <w:rPr>
                <w:rFonts w:ascii="仿宋" w:eastAsia="仿宋" w:hAnsi="仿宋"/>
                <w:sz w:val="18"/>
                <w:szCs w:val="18"/>
              </w:rPr>
              <w:t>，p=0.</w:t>
            </w:r>
            <w:r w:rsidRPr="00244A26">
              <w:rPr>
                <w:rFonts w:ascii="仿宋" w:eastAsia="仿宋" w:hAnsi="仿宋" w:hint="eastAsia"/>
                <w:sz w:val="18"/>
                <w:szCs w:val="18"/>
              </w:rPr>
              <w:t>725</w:t>
            </w:r>
            <w:r w:rsidRPr="00244A26">
              <w:rPr>
                <w:rFonts w:ascii="仿宋" w:eastAsia="仿宋" w:hAnsi="仿宋"/>
                <w:sz w:val="18"/>
                <w:szCs w:val="18"/>
              </w:rPr>
              <w:t>；</w:t>
            </w:r>
          </w:p>
          <w:p w:rsidR="00244A26" w:rsidRPr="00244A26" w:rsidRDefault="00244A26" w:rsidP="00244A26">
            <w:pPr>
              <w:jc w:val="center"/>
              <w:rPr>
                <w:rFonts w:ascii="仿宋" w:eastAsia="仿宋" w:hAnsi="仿宋"/>
                <w:sz w:val="18"/>
                <w:szCs w:val="18"/>
              </w:rPr>
            </w:pPr>
            <w:r w:rsidRPr="00244A26">
              <w:rPr>
                <w:rFonts w:ascii="仿宋" w:eastAsia="仿宋" w:hAnsi="仿宋"/>
                <w:sz w:val="18"/>
                <w:szCs w:val="18"/>
              </w:rPr>
              <w:t>λ</w:t>
            </w:r>
            <w:r w:rsidRPr="00244A26">
              <w:rPr>
                <w:rFonts w:ascii="仿宋" w:eastAsia="仿宋" w:hAnsi="仿宋" w:hint="eastAsia"/>
                <w:sz w:val="18"/>
                <w:szCs w:val="18"/>
              </w:rPr>
              <w:t>=0.000（对称），p</w:t>
            </w:r>
            <w:r w:rsidRPr="00244A26">
              <w:rPr>
                <w:rFonts w:ascii="仿宋" w:eastAsia="仿宋" w:hAnsi="仿宋"/>
                <w:sz w:val="18"/>
                <w:szCs w:val="18"/>
              </w:rPr>
              <w:t>=</w:t>
            </w:r>
            <w:r w:rsidRPr="00244A26">
              <w:rPr>
                <w:rFonts w:ascii="仿宋" w:eastAsia="仿宋" w:hAnsi="仿宋" w:hint="eastAsia"/>
                <w:sz w:val="18"/>
                <w:szCs w:val="18"/>
              </w:rPr>
              <w:t>1</w:t>
            </w:r>
            <w:r w:rsidRPr="00244A26">
              <w:rPr>
                <w:rFonts w:ascii="仿宋" w:eastAsia="仿宋" w:hAnsi="仿宋"/>
                <w:sz w:val="18"/>
                <w:szCs w:val="18"/>
              </w:rPr>
              <w:t>.000.</w:t>
            </w:r>
          </w:p>
        </w:tc>
      </w:tr>
    </w:tbl>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表</w:t>
      </w:r>
      <w:r w:rsidR="00A670FC">
        <w:rPr>
          <w:rFonts w:ascii="仿宋" w:eastAsia="仿宋" w:hAnsi="仿宋" w:hint="eastAsia"/>
          <w:szCs w:val="24"/>
        </w:rPr>
        <w:t>4</w:t>
      </w:r>
      <w:r w:rsidRPr="00244A26">
        <w:rPr>
          <w:rFonts w:ascii="仿宋" w:eastAsia="仿宋" w:hAnsi="仿宋"/>
          <w:szCs w:val="24"/>
        </w:rPr>
        <w:t>反映的是针对三份不同报告的网民评论情况。可以看出，无论是来源于政府还是学界，无论是针对何种层级的地方政府，网民体现出的态度是颇为一致的：更关心特定地区的</w:t>
      </w:r>
      <w:r w:rsidRPr="00244A26">
        <w:rPr>
          <w:rFonts w:ascii="仿宋" w:eastAsia="仿宋" w:hAnsi="仿宋"/>
          <w:szCs w:val="24"/>
        </w:rPr>
        <w:lastRenderedPageBreak/>
        <w:t>财政透明度状况。在三类</w:t>
      </w:r>
      <w:proofErr w:type="gramStart"/>
      <w:r w:rsidRPr="00244A26">
        <w:rPr>
          <w:rFonts w:ascii="仿宋" w:eastAsia="仿宋" w:hAnsi="仿宋"/>
          <w:szCs w:val="24"/>
        </w:rPr>
        <w:t>微博下</w:t>
      </w:r>
      <w:proofErr w:type="gramEnd"/>
      <w:r w:rsidRPr="00244A26">
        <w:rPr>
          <w:rFonts w:ascii="仿宋" w:eastAsia="仿宋" w:hAnsi="仿宋"/>
          <w:szCs w:val="24"/>
        </w:rPr>
        <w:t>，针对特定地区进行评论的</w:t>
      </w:r>
      <w:proofErr w:type="gramStart"/>
      <w:r w:rsidRPr="00244A26">
        <w:rPr>
          <w:rFonts w:ascii="仿宋" w:eastAsia="仿宋" w:hAnsi="仿宋"/>
          <w:szCs w:val="24"/>
        </w:rPr>
        <w:t>网友均</w:t>
      </w:r>
      <w:proofErr w:type="gramEnd"/>
      <w:r w:rsidRPr="00244A26">
        <w:rPr>
          <w:rFonts w:ascii="仿宋" w:eastAsia="仿宋" w:hAnsi="仿宋"/>
          <w:szCs w:val="24"/>
        </w:rPr>
        <w:t>占到约四分之三，而针对非特定地区（全国）的评论则只占四分之一。相关性的检验也表面，网民评论针对特定地区与否和其针对哪一份榜单无关。</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在这些评论中既有山东等高排名地区网民油然而生的自豪，如网友“我是黄璜煌元源缘峰锋烽疯呀”评论道：“山东人民凌晨四点发来贺电！”</w:t>
      </w:r>
      <w:r w:rsidRPr="00244A26">
        <w:rPr>
          <w:rFonts w:ascii="仿宋" w:eastAsia="仿宋" w:hAnsi="仿宋"/>
          <w:sz w:val="24"/>
          <w:szCs w:val="24"/>
          <w:vertAlign w:val="superscript"/>
        </w:rPr>
        <w:footnoteReference w:id="10"/>
      </w:r>
      <w:r w:rsidRPr="00244A26">
        <w:rPr>
          <w:rFonts w:ascii="仿宋" w:eastAsia="仿宋" w:hAnsi="仿宋" w:hint="eastAsia"/>
          <w:szCs w:val="24"/>
        </w:rPr>
        <w:t>（收到11个点赞），网友“莲军</w:t>
      </w:r>
      <w:r w:rsidRPr="00244A26">
        <w:rPr>
          <w:rFonts w:ascii="仿宋" w:eastAsia="仿宋" w:hAnsi="仿宋"/>
          <w:szCs w:val="24"/>
        </w:rPr>
        <w:t>19519</w:t>
      </w:r>
      <w:r w:rsidRPr="00244A26">
        <w:rPr>
          <w:rFonts w:ascii="仿宋" w:eastAsia="仿宋" w:hAnsi="仿宋" w:hint="eastAsia"/>
          <w:szCs w:val="24"/>
        </w:rPr>
        <w:t>”也说</w:t>
      </w:r>
      <w:r w:rsidRPr="00244A26">
        <w:rPr>
          <w:rFonts w:ascii="仿宋" w:eastAsia="仿宋" w:hAnsi="仿宋"/>
          <w:szCs w:val="24"/>
        </w:rPr>
        <w:t>：</w:t>
      </w:r>
      <w:r w:rsidRPr="00244A26">
        <w:rPr>
          <w:rFonts w:ascii="仿宋" w:eastAsia="仿宋" w:hAnsi="仿宋" w:hint="eastAsia"/>
          <w:szCs w:val="24"/>
        </w:rPr>
        <w:t>“</w:t>
      </w:r>
      <w:r w:rsidRPr="00244A26">
        <w:rPr>
          <w:rFonts w:ascii="仿宋" w:eastAsia="仿宋" w:hAnsi="仿宋"/>
          <w:szCs w:val="24"/>
        </w:rPr>
        <w:t>山东在进步，感谢郭树清</w:t>
      </w:r>
      <w:r w:rsidRPr="00244A26">
        <w:rPr>
          <w:rFonts w:ascii="仿宋" w:eastAsia="仿宋" w:hAnsi="仿宋" w:hint="eastAsia"/>
          <w:szCs w:val="24"/>
        </w:rPr>
        <w:t>。”</w:t>
      </w:r>
      <w:r w:rsidRPr="00244A26">
        <w:rPr>
          <w:rFonts w:ascii="仿宋" w:eastAsia="仿宋" w:hAnsi="仿宋"/>
          <w:sz w:val="24"/>
          <w:szCs w:val="24"/>
          <w:vertAlign w:val="superscript"/>
        </w:rPr>
        <w:footnoteReference w:id="11"/>
      </w:r>
      <w:r w:rsidRPr="00244A26">
        <w:rPr>
          <w:rFonts w:ascii="仿宋" w:eastAsia="仿宋" w:hAnsi="仿宋" w:hint="eastAsia"/>
          <w:szCs w:val="24"/>
        </w:rPr>
        <w:t>（收到11个点赞）；也有广东、河南等低排位地区网民的不满与自嘲，如网友“</w:t>
      </w:r>
      <w:proofErr w:type="spellStart"/>
      <w:r w:rsidRPr="00244A26">
        <w:rPr>
          <w:rFonts w:ascii="仿宋" w:eastAsia="仿宋" w:hAnsi="仿宋"/>
          <w:szCs w:val="24"/>
        </w:rPr>
        <w:t>Breaker_X</w:t>
      </w:r>
      <w:proofErr w:type="spellEnd"/>
      <w:r w:rsidRPr="00244A26">
        <w:rPr>
          <w:rFonts w:ascii="仿宋" w:eastAsia="仿宋" w:hAnsi="仿宋" w:hint="eastAsia"/>
          <w:szCs w:val="24"/>
        </w:rPr>
        <w:t>”无不遗憾地说道：“</w:t>
      </w:r>
      <w:r w:rsidRPr="00244A26">
        <w:rPr>
          <w:rFonts w:ascii="仿宋" w:eastAsia="仿宋" w:hAnsi="仿宋"/>
          <w:szCs w:val="24"/>
        </w:rPr>
        <w:t>大河南果然没让我失望！</w:t>
      </w:r>
      <w:r w:rsidRPr="00244A26">
        <w:rPr>
          <w:rFonts w:ascii="仿宋" w:eastAsia="仿宋" w:hAnsi="仿宋" w:hint="eastAsia"/>
          <w:szCs w:val="24"/>
        </w:rPr>
        <w:t>”</w:t>
      </w:r>
      <w:r w:rsidRPr="00244A26">
        <w:rPr>
          <w:rFonts w:ascii="仿宋" w:eastAsia="仿宋" w:hAnsi="仿宋"/>
          <w:sz w:val="24"/>
          <w:szCs w:val="24"/>
          <w:vertAlign w:val="superscript"/>
        </w:rPr>
        <w:footnoteReference w:id="12"/>
      </w:r>
      <w:r w:rsidRPr="00244A26">
        <w:rPr>
          <w:rFonts w:ascii="仿宋" w:eastAsia="仿宋" w:hAnsi="仿宋" w:hint="eastAsia"/>
          <w:szCs w:val="24"/>
        </w:rPr>
        <w:t>（收到7个赞）。</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而有意思的是，针对特定地区的评论中，网友对财政透明度认同的比例要明显高于不针对特定地区评论的网友。表</w:t>
      </w:r>
      <w:r w:rsidRPr="00244A26">
        <w:rPr>
          <w:rFonts w:ascii="仿宋" w:eastAsia="仿宋" w:hAnsi="仿宋"/>
          <w:szCs w:val="24"/>
        </w:rPr>
        <w:t>5就反映了这一情况。针对特定地区的评论中的认可比例要明显高于针对非特</w:t>
      </w:r>
      <w:proofErr w:type="gramStart"/>
      <w:r w:rsidRPr="00244A26">
        <w:rPr>
          <w:rFonts w:ascii="仿宋" w:eastAsia="仿宋" w:hAnsi="仿宋"/>
          <w:szCs w:val="24"/>
        </w:rPr>
        <w:t>定地区</w:t>
      </w:r>
      <w:proofErr w:type="gramEnd"/>
      <w:r w:rsidRPr="00244A26">
        <w:rPr>
          <w:rFonts w:ascii="仿宋" w:eastAsia="仿宋" w:hAnsi="仿宋"/>
          <w:szCs w:val="24"/>
        </w:rPr>
        <w:t>的评论。而且相关性检验也验证了这一点。由此可以看出，不考虑其他因素相关排行</w:t>
      </w:r>
      <w:proofErr w:type="gramStart"/>
      <w:r w:rsidRPr="00244A26">
        <w:rPr>
          <w:rFonts w:ascii="仿宋" w:eastAsia="仿宋" w:hAnsi="仿宋"/>
          <w:szCs w:val="24"/>
        </w:rPr>
        <w:t>榜信息</w:t>
      </w:r>
      <w:proofErr w:type="gramEnd"/>
      <w:r w:rsidRPr="00244A26">
        <w:rPr>
          <w:rFonts w:ascii="仿宋" w:eastAsia="仿宋" w:hAnsi="仿宋"/>
          <w:szCs w:val="24"/>
        </w:rPr>
        <w:t>对于排名靠前的网友会更加有吸引力。</w:t>
      </w:r>
    </w:p>
    <w:p w:rsidR="00244A26" w:rsidRPr="00244A26" w:rsidRDefault="00244A26" w:rsidP="00244A26">
      <w:pPr>
        <w:ind w:firstLine="420"/>
        <w:jc w:val="center"/>
        <w:rPr>
          <w:rFonts w:ascii="仿宋" w:eastAsia="仿宋" w:hAnsi="仿宋"/>
          <w:szCs w:val="24"/>
        </w:rPr>
      </w:pPr>
      <w:r w:rsidRPr="00244A26">
        <w:rPr>
          <w:rFonts w:ascii="仿宋" w:eastAsia="仿宋" w:hAnsi="仿宋" w:hint="eastAsia"/>
          <w:szCs w:val="24"/>
        </w:rPr>
        <w:t>表</w:t>
      </w:r>
      <w:r w:rsidRPr="00244A26">
        <w:rPr>
          <w:rFonts w:ascii="仿宋" w:eastAsia="仿宋" w:hAnsi="仿宋"/>
          <w:szCs w:val="24"/>
        </w:rPr>
        <w:t>5</w:t>
      </w:r>
      <w:r w:rsidR="00A670FC">
        <w:rPr>
          <w:rFonts w:ascii="仿宋" w:eastAsia="仿宋" w:hAnsi="仿宋"/>
          <w:szCs w:val="24"/>
        </w:rPr>
        <w:t xml:space="preserve"> </w:t>
      </w:r>
      <w:r w:rsidRPr="00244A26">
        <w:rPr>
          <w:rFonts w:ascii="仿宋" w:eastAsia="仿宋" w:hAnsi="仿宋"/>
          <w:szCs w:val="24"/>
        </w:rPr>
        <w:t>网民评论地区性的影响</w:t>
      </w:r>
    </w:p>
    <w:tbl>
      <w:tblPr>
        <w:tblStyle w:val="af2"/>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0"/>
        <w:gridCol w:w="1869"/>
        <w:gridCol w:w="1869"/>
        <w:gridCol w:w="1869"/>
      </w:tblGrid>
      <w:tr w:rsidR="00244A26" w:rsidRPr="00244A26" w:rsidTr="00F43BDE">
        <w:tc>
          <w:tcPr>
            <w:tcW w:w="1129" w:type="dxa"/>
            <w:tcBorders>
              <w:top w:val="single" w:sz="12" w:space="0" w:color="auto"/>
              <w:bottom w:val="nil"/>
            </w:tcBorders>
          </w:tcPr>
          <w:p w:rsidR="00244A26" w:rsidRPr="00244A26" w:rsidRDefault="00244A26" w:rsidP="00A670FC">
            <w:pPr>
              <w:spacing w:line="0" w:lineRule="atLeast"/>
              <w:rPr>
                <w:rFonts w:ascii="仿宋" w:eastAsia="仿宋" w:hAnsi="仿宋"/>
                <w:sz w:val="18"/>
                <w:szCs w:val="18"/>
              </w:rPr>
            </w:pPr>
          </w:p>
        </w:tc>
        <w:tc>
          <w:tcPr>
            <w:tcW w:w="1560" w:type="dxa"/>
            <w:tcBorders>
              <w:top w:val="single" w:sz="12" w:space="0" w:color="auto"/>
              <w:bottom w:val="nil"/>
            </w:tcBorders>
          </w:tcPr>
          <w:p w:rsidR="00244A26" w:rsidRPr="00244A26" w:rsidRDefault="00244A26" w:rsidP="00A670FC">
            <w:pPr>
              <w:spacing w:line="0" w:lineRule="atLeast"/>
              <w:rPr>
                <w:rFonts w:ascii="仿宋" w:eastAsia="仿宋" w:hAnsi="仿宋"/>
                <w:sz w:val="18"/>
                <w:szCs w:val="18"/>
              </w:rPr>
            </w:pPr>
          </w:p>
        </w:tc>
        <w:tc>
          <w:tcPr>
            <w:tcW w:w="5607" w:type="dxa"/>
            <w:gridSpan w:val="3"/>
            <w:tcBorders>
              <w:top w:val="single" w:sz="12" w:space="0" w:color="auto"/>
              <w:bottom w:val="single" w:sz="8" w:space="0" w:color="auto"/>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对财政透明度的认可情况</w:t>
            </w:r>
          </w:p>
        </w:tc>
      </w:tr>
      <w:tr w:rsidR="00244A26" w:rsidRPr="00244A26" w:rsidTr="00F43BDE">
        <w:tc>
          <w:tcPr>
            <w:tcW w:w="1129" w:type="dxa"/>
            <w:tcBorders>
              <w:top w:val="nil"/>
              <w:bottom w:val="single" w:sz="12" w:space="0" w:color="auto"/>
            </w:tcBorders>
          </w:tcPr>
          <w:p w:rsidR="00244A26" w:rsidRPr="00244A26" w:rsidRDefault="00244A26" w:rsidP="00A670FC">
            <w:pPr>
              <w:spacing w:line="0" w:lineRule="atLeast"/>
              <w:rPr>
                <w:rFonts w:ascii="仿宋" w:eastAsia="仿宋" w:hAnsi="仿宋"/>
                <w:sz w:val="18"/>
                <w:szCs w:val="18"/>
              </w:rPr>
            </w:pPr>
          </w:p>
        </w:tc>
        <w:tc>
          <w:tcPr>
            <w:tcW w:w="1560" w:type="dxa"/>
            <w:tcBorders>
              <w:top w:val="nil"/>
              <w:bottom w:val="single" w:sz="12" w:space="0" w:color="auto"/>
            </w:tcBorders>
          </w:tcPr>
          <w:p w:rsidR="00244A26" w:rsidRPr="00244A26" w:rsidRDefault="00244A26" w:rsidP="00A670FC">
            <w:pPr>
              <w:spacing w:line="0" w:lineRule="atLeast"/>
              <w:rPr>
                <w:rFonts w:ascii="仿宋" w:eastAsia="仿宋" w:hAnsi="仿宋"/>
                <w:sz w:val="18"/>
                <w:szCs w:val="18"/>
              </w:rPr>
            </w:pPr>
          </w:p>
        </w:tc>
        <w:tc>
          <w:tcPr>
            <w:tcW w:w="1869" w:type="dxa"/>
            <w:tcBorders>
              <w:top w:val="single" w:sz="8" w:space="0" w:color="auto"/>
              <w:bottom w:val="single" w:sz="12" w:space="0" w:color="auto"/>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否定</w:t>
            </w:r>
          </w:p>
        </w:tc>
        <w:tc>
          <w:tcPr>
            <w:tcW w:w="1869" w:type="dxa"/>
            <w:tcBorders>
              <w:top w:val="single" w:sz="8" w:space="0" w:color="auto"/>
              <w:bottom w:val="single" w:sz="12" w:space="0" w:color="auto"/>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中立</w:t>
            </w:r>
          </w:p>
        </w:tc>
        <w:tc>
          <w:tcPr>
            <w:tcW w:w="1869" w:type="dxa"/>
            <w:tcBorders>
              <w:top w:val="single" w:sz="8" w:space="0" w:color="auto"/>
              <w:bottom w:val="single" w:sz="12" w:space="0" w:color="auto"/>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认可</w:t>
            </w:r>
          </w:p>
        </w:tc>
      </w:tr>
      <w:tr w:rsidR="00244A26" w:rsidRPr="00244A26" w:rsidTr="00F43BDE">
        <w:tc>
          <w:tcPr>
            <w:tcW w:w="1129" w:type="dxa"/>
            <w:tcBorders>
              <w:top w:val="single" w:sz="12" w:space="0" w:color="auto"/>
              <w:bottom w:val="nil"/>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针对主体</w:t>
            </w:r>
          </w:p>
        </w:tc>
        <w:tc>
          <w:tcPr>
            <w:tcW w:w="1560" w:type="dxa"/>
            <w:tcBorders>
              <w:top w:val="single" w:sz="12" w:space="0" w:color="auto"/>
              <w:bottom w:val="nil"/>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特定地区</w:t>
            </w:r>
          </w:p>
        </w:tc>
        <w:tc>
          <w:tcPr>
            <w:tcW w:w="1869" w:type="dxa"/>
            <w:tcBorders>
              <w:top w:val="single" w:sz="12" w:space="0" w:color="auto"/>
              <w:bottom w:val="nil"/>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91(74.0%)</w:t>
            </w:r>
          </w:p>
        </w:tc>
        <w:tc>
          <w:tcPr>
            <w:tcW w:w="1869" w:type="dxa"/>
            <w:tcBorders>
              <w:top w:val="single" w:sz="12" w:space="0" w:color="auto"/>
              <w:bottom w:val="nil"/>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73 (52.9%)</w:t>
            </w:r>
          </w:p>
        </w:tc>
        <w:tc>
          <w:tcPr>
            <w:tcW w:w="1869" w:type="dxa"/>
            <w:tcBorders>
              <w:top w:val="single" w:sz="12" w:space="0" w:color="auto"/>
              <w:bottom w:val="nil"/>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196(85.2%)</w:t>
            </w:r>
          </w:p>
        </w:tc>
      </w:tr>
      <w:tr w:rsidR="00244A26" w:rsidRPr="00244A26" w:rsidTr="00F43BDE">
        <w:tc>
          <w:tcPr>
            <w:tcW w:w="1129" w:type="dxa"/>
            <w:tcBorders>
              <w:top w:val="nil"/>
              <w:bottom w:val="nil"/>
            </w:tcBorders>
          </w:tcPr>
          <w:p w:rsidR="00244A26" w:rsidRPr="00244A26" w:rsidRDefault="00244A26" w:rsidP="00A670FC">
            <w:pPr>
              <w:spacing w:line="0" w:lineRule="atLeast"/>
              <w:rPr>
                <w:rFonts w:ascii="仿宋" w:eastAsia="仿宋" w:hAnsi="仿宋"/>
                <w:sz w:val="18"/>
                <w:szCs w:val="18"/>
              </w:rPr>
            </w:pPr>
          </w:p>
        </w:tc>
        <w:tc>
          <w:tcPr>
            <w:tcW w:w="1560" w:type="dxa"/>
            <w:tcBorders>
              <w:top w:val="nil"/>
              <w:bottom w:val="nil"/>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非特</w:t>
            </w:r>
            <w:proofErr w:type="gramStart"/>
            <w:r w:rsidRPr="00244A26">
              <w:rPr>
                <w:rFonts w:ascii="仿宋" w:eastAsia="仿宋" w:hAnsi="仿宋" w:hint="eastAsia"/>
                <w:sz w:val="18"/>
                <w:szCs w:val="18"/>
              </w:rPr>
              <w:t>定地区</w:t>
            </w:r>
            <w:proofErr w:type="gramEnd"/>
          </w:p>
        </w:tc>
        <w:tc>
          <w:tcPr>
            <w:tcW w:w="1869" w:type="dxa"/>
            <w:tcBorders>
              <w:top w:val="nil"/>
              <w:bottom w:val="nil"/>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32(26.0%)</w:t>
            </w:r>
          </w:p>
        </w:tc>
        <w:tc>
          <w:tcPr>
            <w:tcW w:w="1869" w:type="dxa"/>
            <w:tcBorders>
              <w:top w:val="nil"/>
              <w:bottom w:val="nil"/>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65 (47.1%)</w:t>
            </w:r>
          </w:p>
        </w:tc>
        <w:tc>
          <w:tcPr>
            <w:tcW w:w="1869" w:type="dxa"/>
            <w:tcBorders>
              <w:top w:val="nil"/>
              <w:bottom w:val="nil"/>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34(14.8%)</w:t>
            </w:r>
          </w:p>
        </w:tc>
      </w:tr>
      <w:tr w:rsidR="00244A26" w:rsidRPr="00244A26" w:rsidTr="00F43BDE">
        <w:tc>
          <w:tcPr>
            <w:tcW w:w="1129" w:type="dxa"/>
            <w:tcBorders>
              <w:top w:val="nil"/>
              <w:bottom w:val="single" w:sz="12" w:space="0" w:color="auto"/>
            </w:tcBorders>
          </w:tcPr>
          <w:p w:rsidR="00244A26" w:rsidRPr="00244A26" w:rsidRDefault="00244A26" w:rsidP="00A670FC">
            <w:pPr>
              <w:spacing w:line="0" w:lineRule="atLeast"/>
              <w:rPr>
                <w:rFonts w:ascii="仿宋" w:eastAsia="仿宋" w:hAnsi="仿宋"/>
                <w:sz w:val="18"/>
                <w:szCs w:val="18"/>
              </w:rPr>
            </w:pPr>
          </w:p>
        </w:tc>
        <w:tc>
          <w:tcPr>
            <w:tcW w:w="1560" w:type="dxa"/>
            <w:tcBorders>
              <w:top w:val="single" w:sz="8" w:space="0" w:color="auto"/>
              <w:bottom w:val="single" w:sz="12" w:space="0" w:color="auto"/>
            </w:tcBorders>
          </w:tcPr>
          <w:p w:rsidR="00244A26" w:rsidRPr="00244A26" w:rsidRDefault="00244A26" w:rsidP="00A670FC">
            <w:pPr>
              <w:spacing w:line="0" w:lineRule="atLeast"/>
              <w:rPr>
                <w:rFonts w:ascii="仿宋" w:eastAsia="仿宋" w:hAnsi="仿宋"/>
                <w:sz w:val="18"/>
                <w:szCs w:val="18"/>
              </w:rPr>
            </w:pPr>
            <w:r w:rsidRPr="00244A26">
              <w:rPr>
                <w:rFonts w:ascii="仿宋" w:eastAsia="仿宋" w:hAnsi="仿宋" w:hint="eastAsia"/>
                <w:sz w:val="18"/>
                <w:szCs w:val="18"/>
              </w:rPr>
              <w:t>相关性检验</w:t>
            </w:r>
          </w:p>
        </w:tc>
        <w:tc>
          <w:tcPr>
            <w:tcW w:w="5607" w:type="dxa"/>
            <w:gridSpan w:val="3"/>
            <w:tcBorders>
              <w:top w:val="single" w:sz="8" w:space="0" w:color="auto"/>
              <w:bottom w:val="single" w:sz="12" w:space="0" w:color="auto"/>
            </w:tcBorders>
          </w:tcPr>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sz w:val="18"/>
                <w:szCs w:val="18"/>
              </w:rPr>
              <w:t>χ</w:t>
            </w:r>
            <w:r w:rsidRPr="00244A26">
              <w:rPr>
                <w:rFonts w:ascii="仿宋" w:eastAsia="仿宋" w:hAnsi="仿宋"/>
                <w:sz w:val="18"/>
                <w:szCs w:val="18"/>
                <w:vertAlign w:val="superscript"/>
              </w:rPr>
              <w:t xml:space="preserve">2 </w:t>
            </w:r>
            <w:r w:rsidRPr="00244A26">
              <w:rPr>
                <w:rFonts w:ascii="仿宋" w:eastAsia="仿宋" w:hAnsi="仿宋"/>
                <w:sz w:val="18"/>
                <w:szCs w:val="18"/>
              </w:rPr>
              <w:t>=</w:t>
            </w:r>
            <w:r w:rsidRPr="00244A26">
              <w:rPr>
                <w:rFonts w:ascii="仿宋" w:eastAsia="仿宋" w:hAnsi="仿宋" w:hint="eastAsia"/>
                <w:sz w:val="18"/>
                <w:szCs w:val="18"/>
              </w:rPr>
              <w:t>46.090</w:t>
            </w:r>
            <w:r w:rsidRPr="00244A26">
              <w:rPr>
                <w:rFonts w:ascii="仿宋" w:eastAsia="仿宋" w:hAnsi="仿宋"/>
                <w:sz w:val="18"/>
                <w:szCs w:val="18"/>
              </w:rPr>
              <w:t>，</w:t>
            </w:r>
            <w:proofErr w:type="spellStart"/>
            <w:r w:rsidRPr="00244A26">
              <w:rPr>
                <w:rFonts w:ascii="仿宋" w:eastAsia="仿宋" w:hAnsi="仿宋"/>
                <w:sz w:val="18"/>
                <w:szCs w:val="18"/>
              </w:rPr>
              <w:t>df</w:t>
            </w:r>
            <w:proofErr w:type="spellEnd"/>
            <w:r w:rsidRPr="00244A26">
              <w:rPr>
                <w:rFonts w:ascii="仿宋" w:eastAsia="仿宋" w:hAnsi="仿宋"/>
                <w:sz w:val="18"/>
                <w:szCs w:val="18"/>
              </w:rPr>
              <w:t>=</w:t>
            </w:r>
            <w:r w:rsidRPr="00244A26">
              <w:rPr>
                <w:rFonts w:ascii="仿宋" w:eastAsia="仿宋" w:hAnsi="仿宋" w:hint="eastAsia"/>
                <w:sz w:val="18"/>
                <w:szCs w:val="18"/>
              </w:rPr>
              <w:t>2</w:t>
            </w:r>
            <w:r w:rsidRPr="00244A26">
              <w:rPr>
                <w:rFonts w:ascii="仿宋" w:eastAsia="仿宋" w:hAnsi="仿宋"/>
                <w:sz w:val="18"/>
                <w:szCs w:val="18"/>
              </w:rPr>
              <w:t>，p=0.</w:t>
            </w:r>
            <w:r w:rsidRPr="00244A26">
              <w:rPr>
                <w:rFonts w:ascii="仿宋" w:eastAsia="仿宋" w:hAnsi="仿宋" w:hint="eastAsia"/>
                <w:sz w:val="18"/>
                <w:szCs w:val="18"/>
              </w:rPr>
              <w:t>000</w:t>
            </w:r>
            <w:r w:rsidRPr="00244A26">
              <w:rPr>
                <w:rFonts w:ascii="仿宋" w:eastAsia="仿宋" w:hAnsi="仿宋"/>
                <w:sz w:val="18"/>
                <w:szCs w:val="18"/>
              </w:rPr>
              <w:t>；</w:t>
            </w:r>
          </w:p>
          <w:p w:rsidR="00244A26" w:rsidRPr="00244A26" w:rsidRDefault="00244A26" w:rsidP="00A670FC">
            <w:pPr>
              <w:spacing w:line="0" w:lineRule="atLeast"/>
              <w:jc w:val="center"/>
              <w:rPr>
                <w:rFonts w:ascii="仿宋" w:eastAsia="仿宋" w:hAnsi="仿宋"/>
                <w:sz w:val="18"/>
                <w:szCs w:val="18"/>
              </w:rPr>
            </w:pPr>
            <w:r w:rsidRPr="00244A26">
              <w:rPr>
                <w:rFonts w:ascii="仿宋" w:eastAsia="仿宋" w:hAnsi="仿宋" w:hint="eastAsia"/>
                <w:sz w:val="18"/>
                <w:szCs w:val="18"/>
              </w:rPr>
              <w:t>Gamma=0.300，p</w:t>
            </w:r>
            <w:r w:rsidRPr="00244A26">
              <w:rPr>
                <w:rFonts w:ascii="仿宋" w:eastAsia="仿宋" w:hAnsi="仿宋"/>
                <w:sz w:val="18"/>
                <w:szCs w:val="18"/>
              </w:rPr>
              <w:t>=</w:t>
            </w:r>
            <w:r w:rsidRPr="00244A26">
              <w:rPr>
                <w:rFonts w:ascii="仿宋" w:eastAsia="仿宋" w:hAnsi="仿宋" w:hint="eastAsia"/>
                <w:sz w:val="18"/>
                <w:szCs w:val="18"/>
              </w:rPr>
              <w:t>0</w:t>
            </w:r>
            <w:r w:rsidRPr="00244A26">
              <w:rPr>
                <w:rFonts w:ascii="仿宋" w:eastAsia="仿宋" w:hAnsi="仿宋"/>
                <w:sz w:val="18"/>
                <w:szCs w:val="18"/>
              </w:rPr>
              <w:t>.000.</w:t>
            </w:r>
          </w:p>
        </w:tc>
      </w:tr>
    </w:tbl>
    <w:p w:rsidR="00244A26" w:rsidRPr="00244A26" w:rsidRDefault="00244A26" w:rsidP="00A670FC">
      <w:pPr>
        <w:pStyle w:val="2"/>
        <w:spacing w:before="0" w:after="0" w:line="240" w:lineRule="auto"/>
        <w:rPr>
          <w:rFonts w:ascii="仿宋" w:eastAsia="仿宋" w:hAnsi="仿宋"/>
          <w:b/>
        </w:rPr>
      </w:pPr>
      <w:r w:rsidRPr="00244A26">
        <w:rPr>
          <w:rFonts w:ascii="仿宋" w:eastAsia="仿宋" w:hAnsi="仿宋" w:hint="eastAsia"/>
          <w:b/>
        </w:rPr>
        <w:t>五、结论与反思</w:t>
      </w:r>
    </w:p>
    <w:p w:rsidR="00244A26" w:rsidRPr="00244A26" w:rsidRDefault="00244A26" w:rsidP="00A670FC">
      <w:pPr>
        <w:ind w:firstLine="420"/>
        <w:rPr>
          <w:rFonts w:ascii="仿宋" w:eastAsia="仿宋" w:hAnsi="仿宋"/>
          <w:szCs w:val="24"/>
        </w:rPr>
      </w:pPr>
      <w:r w:rsidRPr="00244A26">
        <w:rPr>
          <w:rFonts w:ascii="仿宋" w:eastAsia="仿宋" w:hAnsi="仿宋" w:hint="eastAsia"/>
          <w:szCs w:val="24"/>
        </w:rPr>
        <w:t>在刚刚过去的</w:t>
      </w:r>
      <w:r w:rsidRPr="00244A26">
        <w:rPr>
          <w:rFonts w:ascii="仿宋" w:eastAsia="仿宋" w:hAnsi="仿宋"/>
          <w:szCs w:val="24"/>
        </w:rPr>
        <w:t>2017年中，《2016地方预决算公开度排行榜》、《2017中国财政透明度报告》、《2017年中国市级政府财政透明度研究报告》三文连发，三个</w:t>
      </w:r>
      <w:proofErr w:type="gramStart"/>
      <w:r w:rsidRPr="00244A26">
        <w:rPr>
          <w:rFonts w:ascii="仿宋" w:eastAsia="仿宋" w:hAnsi="仿宋"/>
          <w:szCs w:val="24"/>
        </w:rPr>
        <w:t>排行榜极大地</w:t>
      </w:r>
      <w:proofErr w:type="gramEnd"/>
      <w:r w:rsidRPr="00244A26">
        <w:rPr>
          <w:rFonts w:ascii="仿宋" w:eastAsia="仿宋" w:hAnsi="仿宋"/>
          <w:szCs w:val="24"/>
        </w:rPr>
        <w:t>吸引了人们对于地方政府财政透明度问题的关注。通过此次舆情，我们既可以看到专家学者从哪些角度评价政府财政透明度，也可以看到网民如何从公开的排行榜中获取信息，产生相应的评价，这两者对于舆情研究都有较大的启示。</w:t>
      </w:r>
    </w:p>
    <w:p w:rsidR="00244A26" w:rsidRPr="00244A26" w:rsidRDefault="00244A26" w:rsidP="00244A26">
      <w:pPr>
        <w:widowControl/>
        <w:ind w:firstLineChars="200" w:firstLine="422"/>
        <w:jc w:val="left"/>
        <w:rPr>
          <w:rFonts w:ascii="仿宋" w:eastAsia="仿宋" w:hAnsi="仿宋"/>
          <w:b/>
          <w:szCs w:val="28"/>
        </w:rPr>
      </w:pPr>
      <w:r w:rsidRPr="00244A26">
        <w:rPr>
          <w:rFonts w:ascii="仿宋" w:eastAsia="仿宋" w:hAnsi="仿宋" w:hint="eastAsia"/>
          <w:b/>
          <w:szCs w:val="28"/>
        </w:rPr>
        <w:t>（一）排行榜的舆情魅力：有比较就有热度</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网民对于排行榜的态度反映了他们对于家乡</w:t>
      </w:r>
      <w:r w:rsidRPr="00244A26">
        <w:rPr>
          <w:rFonts w:ascii="仿宋" w:eastAsia="仿宋" w:hAnsi="仿宋"/>
          <w:szCs w:val="24"/>
        </w:rPr>
        <w:t>/居住地的排名最为关注，而这种关注正是在比较中产生的。通过排行榜这一清晰的形式，原本枯燥无味的数据得以可视化，生动地呈现在一般网民面前。这样不具有相关专业知识的网民也能简单易懂的理解各地的财政透明度现状，从而加入到舆情讨论中来。</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其次，排行榜这一形式把竞争和比较加入到舆情过程中。每年各省市间此消彼长的排名不但激起了网民对排行榜的关注，还可以刺激各地方政府加强财政透明化建设，不断提高财政透明化水平。</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最后，这种排名的方法对于舆情引导而言也是相对有益的。可以看到，排名高地区的网民更乐意加入到舆情讨论中，并且其他针对本地区发言的网友也更乐意给出正面的评价。这对合理引导舆论而言无疑有着积极的借鉴意义。</w:t>
      </w:r>
    </w:p>
    <w:p w:rsidR="00244A26" w:rsidRPr="00244A26" w:rsidRDefault="00244A26" w:rsidP="00244A26">
      <w:pPr>
        <w:widowControl/>
        <w:ind w:firstLineChars="200" w:firstLine="422"/>
        <w:jc w:val="left"/>
        <w:rPr>
          <w:rFonts w:ascii="仿宋" w:eastAsia="仿宋" w:hAnsi="仿宋"/>
          <w:b/>
          <w:szCs w:val="28"/>
        </w:rPr>
      </w:pPr>
      <w:r w:rsidRPr="00244A26">
        <w:rPr>
          <w:rFonts w:ascii="仿宋" w:eastAsia="仿宋" w:hAnsi="仿宋" w:hint="eastAsia"/>
          <w:b/>
          <w:szCs w:val="28"/>
        </w:rPr>
        <w:t>（二）排行榜的宣传效果：让专家监督带动民众监督</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尽管此次由三榜连发带来的“财政透明度”舆情起到了较为正面的宣传效果，也对地方政府提供了足够的监督作用，但同时我们也有看到，在一个多月的舆情持续时间里，舆情的总体热点相对不高，影响力有限。</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lastRenderedPageBreak/>
        <w:t>一方面，这是由于财税舆情整体的专业性使得整个领域关注度普遍不高所致；另一方面，我们也要考虑到，是否是对排行榜的宣传力度还不够。专家学者们呕心沥血的研究成果能有效监督帮助政府，但如果普遍忽视舆论宣传，过于“曲高和寡”，也不利于真正发挥专家监督带动民众监督的效果。</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以此次舆情为例，尽管各个排行榜都以促进地方财政透明化为目标，但是其报告自身还应更易获得。报告对一般网民公布的内容较为有限，一般网友除了通过媒体报道，很难进一步的获取信息，只停留在浅尝辄止的层面上。因此，尽管可能有版权等因素的考虑，我们希望报告所有方能够利用好多种平台，为一般网民提供尽可能多的信息，真正达到专家监督带动民众监督的效果。</w:t>
      </w:r>
    </w:p>
    <w:p w:rsidR="00244A26" w:rsidRPr="00244A26" w:rsidRDefault="00244A26" w:rsidP="00244A26">
      <w:pPr>
        <w:widowControl/>
        <w:ind w:firstLineChars="200" w:firstLine="422"/>
        <w:jc w:val="left"/>
        <w:rPr>
          <w:rFonts w:ascii="仿宋" w:eastAsia="仿宋" w:hAnsi="仿宋"/>
          <w:b/>
          <w:szCs w:val="28"/>
        </w:rPr>
      </w:pPr>
      <w:r w:rsidRPr="00244A26">
        <w:rPr>
          <w:rFonts w:ascii="仿宋" w:eastAsia="仿宋" w:hAnsi="仿宋" w:hint="eastAsia"/>
          <w:b/>
          <w:szCs w:val="28"/>
        </w:rPr>
        <w:t>（三）排行榜的政策启示：新媒体时代如何公开</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这三个排行</w:t>
      </w:r>
      <w:proofErr w:type="gramStart"/>
      <w:r w:rsidRPr="00244A26">
        <w:rPr>
          <w:rFonts w:ascii="仿宋" w:eastAsia="仿宋" w:hAnsi="仿宋" w:hint="eastAsia"/>
          <w:szCs w:val="24"/>
        </w:rPr>
        <w:t>榜对于</w:t>
      </w:r>
      <w:proofErr w:type="gramEnd"/>
      <w:r w:rsidRPr="00244A26">
        <w:rPr>
          <w:rFonts w:ascii="仿宋" w:eastAsia="仿宋" w:hAnsi="仿宋" w:hint="eastAsia"/>
          <w:szCs w:val="24"/>
        </w:rPr>
        <w:t>地方政府在财政透明化的努力有着非常重要的参考意义。但从指标体系的设置上看，地方政府想要搞好财政公开，除了依法履行相应职能，还要学会应对新媒体时代的发展。</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地方政府应当充分利用好新媒体平台。财政透明化要求政府公开相关预决算信息，但是如何公开，公开在哪也是一门学问。新媒体时代，要想</w:t>
      </w:r>
      <w:proofErr w:type="gramStart"/>
      <w:r w:rsidRPr="00244A26">
        <w:rPr>
          <w:rFonts w:ascii="仿宋" w:eastAsia="仿宋" w:hAnsi="仿宋" w:hint="eastAsia"/>
          <w:szCs w:val="24"/>
        </w:rPr>
        <w:t>让相关</w:t>
      </w:r>
      <w:proofErr w:type="gramEnd"/>
      <w:r w:rsidRPr="00244A26">
        <w:rPr>
          <w:rFonts w:ascii="仿宋" w:eastAsia="仿宋" w:hAnsi="仿宋" w:hint="eastAsia"/>
          <w:szCs w:val="24"/>
        </w:rPr>
        <w:t>信息真正为民众获取，产生应有的宣传效果，保障公民知情权实现，就不能把这些信息</w:t>
      </w:r>
      <w:proofErr w:type="gramStart"/>
      <w:r w:rsidRPr="00244A26">
        <w:rPr>
          <w:rFonts w:ascii="仿宋" w:eastAsia="仿宋" w:hAnsi="仿宋" w:hint="eastAsia"/>
          <w:szCs w:val="24"/>
        </w:rPr>
        <w:t>往传统</w:t>
      </w:r>
      <w:proofErr w:type="gramEnd"/>
      <w:r w:rsidRPr="00244A26">
        <w:rPr>
          <w:rFonts w:ascii="仿宋" w:eastAsia="仿宋" w:hAnsi="仿宋" w:hint="eastAsia"/>
          <w:szCs w:val="24"/>
        </w:rPr>
        <w:t>渠道上一挂了事。</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例如在多个榜单中均排行前列的山东省，其财政厅官方账号在微博、</w:t>
      </w:r>
      <w:proofErr w:type="gramStart"/>
      <w:r w:rsidRPr="00244A26">
        <w:rPr>
          <w:rFonts w:ascii="仿宋" w:eastAsia="仿宋" w:hAnsi="仿宋" w:hint="eastAsia"/>
          <w:szCs w:val="24"/>
        </w:rPr>
        <w:t>微信平台</w:t>
      </w:r>
      <w:proofErr w:type="gramEnd"/>
      <w:r w:rsidRPr="00244A26">
        <w:rPr>
          <w:rFonts w:ascii="仿宋" w:eastAsia="仿宋" w:hAnsi="仿宋" w:hint="eastAsia"/>
          <w:szCs w:val="24"/>
        </w:rPr>
        <w:t>均有完善的运营。财政部榜单中排名榜首的上海市，其</w:t>
      </w:r>
      <w:proofErr w:type="gramStart"/>
      <w:r w:rsidRPr="00244A26">
        <w:rPr>
          <w:rFonts w:ascii="仿宋" w:eastAsia="仿宋" w:hAnsi="仿宋" w:hint="eastAsia"/>
          <w:szCs w:val="24"/>
        </w:rPr>
        <w:t>财政官网则</w:t>
      </w:r>
      <w:proofErr w:type="gramEnd"/>
      <w:r w:rsidRPr="00244A26">
        <w:rPr>
          <w:rFonts w:ascii="仿宋" w:eastAsia="仿宋" w:hAnsi="仿宋" w:hint="eastAsia"/>
          <w:szCs w:val="24"/>
        </w:rPr>
        <w:t>荣获</w:t>
      </w:r>
      <w:r w:rsidRPr="00244A26">
        <w:rPr>
          <w:rFonts w:ascii="仿宋" w:eastAsia="仿宋" w:hAnsi="仿宋"/>
          <w:szCs w:val="24"/>
        </w:rPr>
        <w:t>2017年度中国政务网站领先奖，这正是上海相关部门先进宣传理念的体现。反之，在财政部榜单中排行后六位的青海、河南、福建、湖北、西藏、内蒙古六个地区，其省级财政主管部门均为开通官方</w:t>
      </w:r>
      <w:proofErr w:type="gramStart"/>
      <w:r w:rsidRPr="00244A26">
        <w:rPr>
          <w:rFonts w:ascii="仿宋" w:eastAsia="仿宋" w:hAnsi="仿宋"/>
          <w:szCs w:val="24"/>
        </w:rPr>
        <w:t>认证微博账号</w:t>
      </w:r>
      <w:proofErr w:type="gramEnd"/>
      <w:r w:rsidRPr="00244A26">
        <w:rPr>
          <w:rFonts w:ascii="仿宋" w:eastAsia="仿宋" w:hAnsi="仿宋"/>
          <w:szCs w:val="24"/>
        </w:rPr>
        <w:t>，没能有效做好新媒体宣传。</w:t>
      </w:r>
    </w:p>
    <w:p w:rsidR="00244A26" w:rsidRPr="00244A26" w:rsidRDefault="00244A26" w:rsidP="00244A26">
      <w:pPr>
        <w:ind w:firstLine="420"/>
        <w:rPr>
          <w:rFonts w:ascii="仿宋" w:eastAsia="仿宋" w:hAnsi="仿宋"/>
          <w:szCs w:val="24"/>
        </w:rPr>
      </w:pPr>
      <w:r w:rsidRPr="00244A26">
        <w:rPr>
          <w:rFonts w:ascii="仿宋" w:eastAsia="仿宋" w:hAnsi="仿宋" w:hint="eastAsia"/>
          <w:szCs w:val="24"/>
        </w:rPr>
        <w:t>由此可见，地方政府进行预决算公开不仅要有行动，更要有态度。只有财政透明化看作是成果而非任务，只有活用好新媒体平台，用心做好宣传，才能让财政透明直达每个终端。这也最终有助于唤起人民群众的主人翁意识，更积极地理解政府、配合政府，带来更全面的区域发展。</w:t>
      </w:r>
    </w:p>
    <w:p w:rsidR="004C7B0C" w:rsidRDefault="004C7B0C" w:rsidP="00244A26">
      <w:pPr>
        <w:rPr>
          <w:rFonts w:ascii="仿宋" w:eastAsia="仿宋" w:hAnsi="仿宋"/>
        </w:rPr>
      </w:pPr>
    </w:p>
    <w:p w:rsidR="00A670FC" w:rsidRDefault="00A670FC" w:rsidP="00244A26">
      <w:pPr>
        <w:rPr>
          <w:rFonts w:ascii="仿宋" w:eastAsia="仿宋" w:hAnsi="仿宋"/>
        </w:rPr>
      </w:pPr>
    </w:p>
    <w:p w:rsidR="006E309D" w:rsidRDefault="004156B2" w:rsidP="006E309D">
      <w:pPr>
        <w:widowControl/>
        <w:ind w:firstLineChars="100" w:firstLine="211"/>
        <w:jc w:val="left"/>
        <w:rPr>
          <w:rFonts w:ascii="仿宋" w:eastAsia="仿宋" w:hAnsi="仿宋" w:cs="Times New Roman"/>
          <w:b/>
          <w:szCs w:val="21"/>
        </w:rPr>
      </w:pPr>
      <w:r>
        <w:rPr>
          <w:rFonts w:ascii="仿宋" w:eastAsia="仿宋" w:hAnsi="仿宋" w:cs="Times New Roman" w:hint="eastAsia"/>
          <w:b/>
          <w:szCs w:val="21"/>
        </w:rPr>
        <w:t>上海财经大学</w:t>
      </w:r>
      <w:r w:rsidR="006E309D" w:rsidRPr="006E309D">
        <w:rPr>
          <w:rFonts w:ascii="仿宋" w:eastAsia="仿宋" w:hAnsi="仿宋" w:cs="Times New Roman" w:hint="eastAsia"/>
          <w:b/>
          <w:szCs w:val="21"/>
        </w:rPr>
        <w:t>公共政策与治理研究院：</w:t>
      </w:r>
    </w:p>
    <w:p w:rsidR="006E309D" w:rsidRPr="006E309D" w:rsidRDefault="006E309D" w:rsidP="006E309D">
      <w:pPr>
        <w:widowControl/>
        <w:ind w:firstLineChars="100" w:firstLine="210"/>
        <w:jc w:val="left"/>
        <w:rPr>
          <w:rFonts w:ascii="仿宋" w:eastAsia="仿宋" w:hAnsi="仿宋" w:cs="Times New Roman"/>
          <w:szCs w:val="21"/>
        </w:rPr>
      </w:pPr>
      <w:r w:rsidRPr="006E309D">
        <w:rPr>
          <w:rFonts w:ascii="仿宋" w:eastAsia="仿宋" w:hAnsi="仿宋" w:cs="Times New Roman" w:hint="eastAsia"/>
          <w:szCs w:val="21"/>
        </w:rPr>
        <w:t>负责：刘长喜</w:t>
      </w:r>
    </w:p>
    <w:p w:rsidR="006E309D" w:rsidRPr="006E309D" w:rsidRDefault="006E309D" w:rsidP="006E309D">
      <w:pPr>
        <w:widowControl/>
        <w:ind w:firstLineChars="100" w:firstLine="210"/>
        <w:jc w:val="left"/>
        <w:rPr>
          <w:rFonts w:ascii="仿宋" w:eastAsia="仿宋" w:hAnsi="仿宋" w:cs="Times New Roman"/>
          <w:szCs w:val="21"/>
        </w:rPr>
      </w:pPr>
      <w:r w:rsidRPr="006E309D">
        <w:rPr>
          <w:rFonts w:ascii="仿宋" w:eastAsia="仿宋" w:hAnsi="仿宋" w:cs="Times New Roman" w:hint="eastAsia"/>
          <w:szCs w:val="21"/>
        </w:rPr>
        <w:t xml:space="preserve">编撰人员：洪磊 </w:t>
      </w:r>
      <w:proofErr w:type="gramStart"/>
      <w:r w:rsidRPr="006E309D">
        <w:rPr>
          <w:rFonts w:ascii="仿宋" w:eastAsia="仿宋" w:hAnsi="仿宋" w:cs="Times New Roman" w:hint="eastAsia"/>
          <w:szCs w:val="21"/>
        </w:rPr>
        <w:t>范</w:t>
      </w:r>
      <w:proofErr w:type="gramEnd"/>
      <w:r w:rsidRPr="006E309D">
        <w:rPr>
          <w:rFonts w:ascii="仿宋" w:eastAsia="仿宋" w:hAnsi="仿宋" w:cs="Times New Roman" w:hint="eastAsia"/>
          <w:szCs w:val="21"/>
        </w:rPr>
        <w:t xml:space="preserve">丹阳 黎力菁 张留克 </w:t>
      </w:r>
      <w:proofErr w:type="gramStart"/>
      <w:r w:rsidRPr="006E309D">
        <w:rPr>
          <w:rFonts w:ascii="仿宋" w:eastAsia="仿宋" w:hAnsi="仿宋" w:cs="Times New Roman" w:hint="eastAsia"/>
          <w:szCs w:val="21"/>
        </w:rPr>
        <w:t>郑轩</w:t>
      </w:r>
      <w:proofErr w:type="gramEnd"/>
      <w:r w:rsidRPr="006E309D">
        <w:rPr>
          <w:rFonts w:ascii="仿宋" w:eastAsia="仿宋" w:hAnsi="仿宋" w:cs="Times New Roman" w:hint="eastAsia"/>
          <w:szCs w:val="21"/>
        </w:rPr>
        <w:t xml:space="preserve"> 吴明星 姜雪</w:t>
      </w:r>
    </w:p>
    <w:p w:rsidR="006E309D" w:rsidRPr="006E309D" w:rsidRDefault="006E309D" w:rsidP="006E309D">
      <w:pPr>
        <w:widowControl/>
        <w:ind w:firstLineChars="100" w:firstLine="210"/>
        <w:jc w:val="left"/>
        <w:rPr>
          <w:rFonts w:ascii="仿宋" w:eastAsia="仿宋" w:hAnsi="仿宋" w:cs="Times New Roman"/>
          <w:szCs w:val="21"/>
        </w:rPr>
      </w:pPr>
    </w:p>
    <w:p w:rsidR="00A670FC" w:rsidRPr="006E309D" w:rsidRDefault="006E309D" w:rsidP="006E309D">
      <w:pPr>
        <w:rPr>
          <w:rFonts w:ascii="仿宋" w:eastAsia="仿宋" w:hAnsi="仿宋"/>
          <w:szCs w:val="21"/>
        </w:rPr>
      </w:pPr>
      <w:r>
        <w:rPr>
          <w:rFonts w:ascii="仿宋" w:eastAsia="仿宋" w:hAnsi="仿宋" w:hint="eastAsia"/>
          <w:szCs w:val="21"/>
        </w:rPr>
        <w:t xml:space="preserve">                                                         2018.1.30</w:t>
      </w:r>
    </w:p>
    <w:sectPr w:rsidR="00A670FC" w:rsidRPr="006E309D">
      <w:headerReference w:type="even" r:id="rId14"/>
      <w:headerReference w:type="default" r:id="rId15"/>
      <w:footerReference w:type="defaul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3F" w:rsidRDefault="00DA433F">
      <w:r>
        <w:separator/>
      </w:r>
    </w:p>
  </w:endnote>
  <w:endnote w:type="continuationSeparator" w:id="0">
    <w:p w:rsidR="00DA433F" w:rsidRDefault="00DA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4E" w:rsidRDefault="0010644E" w:rsidP="0010644E">
    <w:pPr>
      <w:pStyle w:val="a6"/>
      <w:jc w:val="center"/>
    </w:pPr>
    <w:r>
      <w:t>上海财经大学公共政策与治理研究院</w:t>
    </w:r>
  </w:p>
  <w:p w:rsidR="00054CE9" w:rsidRDefault="00054CE9">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E9" w:rsidRDefault="00054CE9">
    <w:pPr>
      <w:pStyle w:val="a6"/>
      <w:ind w:firstLine="360"/>
      <w:jc w:val="center"/>
    </w:pPr>
    <w:r>
      <w:rPr>
        <w:rFonts w:hint="eastAsia"/>
      </w:rPr>
      <w:t>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3F" w:rsidRDefault="00DA433F">
      <w:r>
        <w:separator/>
      </w:r>
    </w:p>
  </w:footnote>
  <w:footnote w:type="continuationSeparator" w:id="0">
    <w:p w:rsidR="00DA433F" w:rsidRDefault="00DA433F">
      <w:r>
        <w:continuationSeparator/>
      </w:r>
    </w:p>
  </w:footnote>
  <w:footnote w:id="1">
    <w:p w:rsidR="00244A26" w:rsidRDefault="00244A26" w:rsidP="00D61D0D">
      <w:pPr>
        <w:pStyle w:val="a9"/>
        <w:wordWrap w:val="0"/>
        <w:snapToGrid/>
        <w:spacing w:line="0" w:lineRule="atLeast"/>
      </w:pPr>
      <w:r>
        <w:rPr>
          <w:rStyle w:val="af1"/>
        </w:rPr>
        <w:footnoteRef/>
      </w:r>
      <w:r>
        <w:t xml:space="preserve"> </w:t>
      </w:r>
      <w:r>
        <w:rPr>
          <w:rFonts w:hint="eastAsia"/>
        </w:rPr>
        <w:t>资料来源：网易网，《</w:t>
      </w:r>
      <w:r w:rsidRPr="00D739ED">
        <w:rPr>
          <w:rFonts w:hint="eastAsia"/>
        </w:rPr>
        <w:t>财政部首发地方预决算公开度排行榜</w:t>
      </w:r>
      <w:r>
        <w:rPr>
          <w:rFonts w:hint="eastAsia"/>
        </w:rPr>
        <w:t>》，</w:t>
      </w:r>
      <w:r w:rsidRPr="00D739ED">
        <w:t>http://money.163.com/17/1229/12/D6QRT27B002580S6.html</w:t>
      </w:r>
      <w:r>
        <w:rPr>
          <w:rFonts w:hint="eastAsia"/>
        </w:rPr>
        <w:t>；新浪网，《</w:t>
      </w:r>
      <w:r w:rsidRPr="009A2FD9">
        <w:t>财政部发布</w:t>
      </w:r>
      <w:r w:rsidRPr="009A2FD9">
        <w:t>2016</w:t>
      </w:r>
      <w:r w:rsidRPr="009A2FD9">
        <w:t>年度地方预决算公开度排行榜</w:t>
      </w:r>
      <w:r>
        <w:rPr>
          <w:rFonts w:hint="eastAsia"/>
        </w:rPr>
        <w:t>》</w:t>
      </w:r>
      <w:r w:rsidRPr="009A2FD9">
        <w:rPr>
          <w:rFonts w:hint="eastAsia"/>
        </w:rPr>
        <w:t>，</w:t>
      </w:r>
      <w:r w:rsidRPr="009A2FD9">
        <w:t>http://news.sina.com.cn/o/2017-12-29/doc-ifyqcsft8009275.shtml</w:t>
      </w:r>
      <w:r>
        <w:rPr>
          <w:rFonts w:hint="eastAsia"/>
        </w:rPr>
        <w:t>；</w:t>
      </w:r>
      <w:proofErr w:type="gramStart"/>
      <w:r>
        <w:rPr>
          <w:rFonts w:hint="eastAsia"/>
        </w:rPr>
        <w:t>腾讯网</w:t>
      </w:r>
      <w:proofErr w:type="gramEnd"/>
      <w:r>
        <w:rPr>
          <w:rFonts w:hint="eastAsia"/>
        </w:rPr>
        <w:t>，《</w:t>
      </w:r>
      <w:r w:rsidRPr="009A2FD9">
        <w:t>2017</w:t>
      </w:r>
      <w:r w:rsidRPr="009A2FD9">
        <w:t>年省级财政透明度报告：山东第一</w:t>
      </w:r>
      <w:r w:rsidRPr="009A2FD9">
        <w:t xml:space="preserve"> </w:t>
      </w:r>
      <w:r w:rsidRPr="009A2FD9">
        <w:t>湖北最后</w:t>
      </w:r>
      <w:r>
        <w:rPr>
          <w:rFonts w:hint="eastAsia"/>
        </w:rPr>
        <w:t>》，</w:t>
      </w:r>
      <w:r w:rsidRPr="009A2FD9">
        <w:t>http://finance.qq.com/a/20171126/013399.htm</w:t>
      </w:r>
      <w:r>
        <w:rPr>
          <w:rFonts w:hint="eastAsia"/>
        </w:rPr>
        <w:t>等。</w:t>
      </w:r>
    </w:p>
  </w:footnote>
  <w:footnote w:id="2">
    <w:p w:rsidR="00244A26" w:rsidRPr="0024335F" w:rsidRDefault="00244A26" w:rsidP="00D61D0D">
      <w:pPr>
        <w:pStyle w:val="a9"/>
        <w:wordWrap w:val="0"/>
        <w:snapToGrid/>
        <w:spacing w:line="0" w:lineRule="atLeast"/>
      </w:pPr>
      <w:r>
        <w:rPr>
          <w:rStyle w:val="af1"/>
        </w:rPr>
        <w:footnoteRef/>
      </w:r>
      <w:r>
        <w:t xml:space="preserve"> </w:t>
      </w:r>
      <w:r>
        <w:rPr>
          <w:rFonts w:hint="eastAsia"/>
        </w:rPr>
        <w:t>本节数据来源：</w:t>
      </w:r>
      <w:proofErr w:type="gramStart"/>
      <w:r>
        <w:rPr>
          <w:rFonts w:hint="eastAsia"/>
        </w:rPr>
        <w:t>新浪微舆情</w:t>
      </w:r>
      <w:proofErr w:type="gramEnd"/>
      <w:r>
        <w:rPr>
          <w:rFonts w:hint="eastAsia"/>
        </w:rPr>
        <w:t>，关键词为：财政透明度，分析日期：</w:t>
      </w:r>
      <w:r>
        <w:rPr>
          <w:rFonts w:hint="eastAsia"/>
        </w:rPr>
        <w:t>2017</w:t>
      </w:r>
      <w:r>
        <w:rPr>
          <w:rFonts w:hint="eastAsia"/>
        </w:rPr>
        <w:t>年</w:t>
      </w:r>
      <w:r>
        <w:rPr>
          <w:rFonts w:hint="eastAsia"/>
        </w:rPr>
        <w:t>11</w:t>
      </w:r>
      <w:r>
        <w:rPr>
          <w:rFonts w:hint="eastAsia"/>
        </w:rPr>
        <w:t>月</w:t>
      </w:r>
      <w:r>
        <w:rPr>
          <w:rFonts w:hint="eastAsia"/>
        </w:rPr>
        <w:t>25</w:t>
      </w:r>
      <w:r>
        <w:rPr>
          <w:rFonts w:hint="eastAsia"/>
        </w:rPr>
        <w:t>日至</w:t>
      </w:r>
      <w:r>
        <w:rPr>
          <w:rFonts w:hint="eastAsia"/>
        </w:rPr>
        <w:t>2018</w:t>
      </w:r>
      <w:r>
        <w:rPr>
          <w:rFonts w:hint="eastAsia"/>
        </w:rPr>
        <w:t>年</w:t>
      </w:r>
      <w:r>
        <w:rPr>
          <w:rFonts w:hint="eastAsia"/>
        </w:rPr>
        <w:t>1</w:t>
      </w:r>
      <w:r>
        <w:rPr>
          <w:rFonts w:hint="eastAsia"/>
        </w:rPr>
        <w:t>月</w:t>
      </w:r>
      <w:r>
        <w:rPr>
          <w:rFonts w:hint="eastAsia"/>
        </w:rPr>
        <w:t>5</w:t>
      </w:r>
      <w:r>
        <w:rPr>
          <w:rFonts w:hint="eastAsia"/>
        </w:rPr>
        <w:t>日，</w:t>
      </w:r>
      <w:r w:rsidRPr="00860595">
        <w:t>http://wyq.sina.com/shareReport/heatPreview.action?shareCode=65DpnpOi02Llq</w:t>
      </w:r>
      <w:r>
        <w:rPr>
          <w:rFonts w:hint="eastAsia"/>
        </w:rPr>
        <w:t>。</w:t>
      </w:r>
    </w:p>
  </w:footnote>
  <w:footnote w:id="3">
    <w:p w:rsidR="00244A26" w:rsidRPr="00D55A17" w:rsidRDefault="00244A26" w:rsidP="00A670FC">
      <w:pPr>
        <w:pStyle w:val="a9"/>
        <w:spacing w:line="0" w:lineRule="atLeast"/>
      </w:pPr>
      <w:r>
        <w:rPr>
          <w:rStyle w:val="af1"/>
        </w:rPr>
        <w:footnoteRef/>
      </w:r>
      <w:r>
        <w:t xml:space="preserve"> </w:t>
      </w:r>
      <w:r w:rsidRPr="00D55A17">
        <w:rPr>
          <w:rFonts w:hint="eastAsia"/>
        </w:rPr>
        <w:t>指微博、客户端、微信、论坛以及网站（</w:t>
      </w:r>
      <w:r w:rsidRPr="00D55A17">
        <w:rPr>
          <w:rFonts w:hint="eastAsia"/>
        </w:rPr>
        <w:t>新闻、政务、报刊、网站、博客、外媒、视频）在相关信息的原发平台上的非敏感信息的占比情况。</w:t>
      </w:r>
    </w:p>
  </w:footnote>
  <w:footnote w:id="4">
    <w:p w:rsidR="00244A26" w:rsidRDefault="00244A26" w:rsidP="00244A26">
      <w:pPr>
        <w:pStyle w:val="a9"/>
      </w:pPr>
      <w:r>
        <w:rPr>
          <w:rStyle w:val="af1"/>
        </w:rPr>
        <w:footnoteRef/>
      </w:r>
      <w:r>
        <w:t xml:space="preserve"> </w:t>
      </w:r>
      <w:r>
        <w:rPr>
          <w:rFonts w:hint="eastAsia"/>
        </w:rPr>
        <w:t>由</w:t>
      </w:r>
      <w:proofErr w:type="gramStart"/>
      <w:r>
        <w:rPr>
          <w:rFonts w:hint="eastAsia"/>
        </w:rPr>
        <w:t>新浪微舆情</w:t>
      </w:r>
      <w:proofErr w:type="gramEnd"/>
      <w:r>
        <w:rPr>
          <w:rFonts w:hint="eastAsia"/>
        </w:rPr>
        <w:t>系统</w:t>
      </w:r>
      <w:r w:rsidRPr="006B51B3">
        <w:rPr>
          <w:rFonts w:hint="eastAsia"/>
        </w:rPr>
        <w:t>按照信息发布者所在地域进行声量统计，并展示中国大陆及港澳台地区的声量</w:t>
      </w:r>
      <w:r w:rsidRPr="006B51B3">
        <w:t>TOP10</w:t>
      </w:r>
      <w:r>
        <w:rPr>
          <w:rFonts w:hint="eastAsia"/>
        </w:rPr>
        <w:t>。</w:t>
      </w:r>
    </w:p>
  </w:footnote>
  <w:footnote w:id="5">
    <w:p w:rsidR="00244A26" w:rsidRDefault="00244A26" w:rsidP="00244A26">
      <w:pPr>
        <w:pStyle w:val="a9"/>
        <w:wordWrap w:val="0"/>
      </w:pPr>
      <w:r>
        <w:rPr>
          <w:rStyle w:val="af1"/>
        </w:rPr>
        <w:footnoteRef/>
      </w:r>
      <w:r>
        <w:t xml:space="preserve"> </w:t>
      </w:r>
      <w:r>
        <w:rPr>
          <w:rFonts w:hint="eastAsia"/>
        </w:rPr>
        <w:t>资料来源：</w:t>
      </w:r>
      <w:proofErr w:type="gramStart"/>
      <w:r>
        <w:rPr>
          <w:rFonts w:hint="eastAsia"/>
        </w:rPr>
        <w:t>腾讯网</w:t>
      </w:r>
      <w:proofErr w:type="gramEnd"/>
      <w:r>
        <w:rPr>
          <w:rFonts w:hint="eastAsia"/>
        </w:rPr>
        <w:t>，《</w:t>
      </w:r>
      <w:r w:rsidRPr="00DE7372">
        <w:t>2017</w:t>
      </w:r>
      <w:r w:rsidRPr="00DE7372">
        <w:t>年省级财政透明度报告：山东第一</w:t>
      </w:r>
      <w:r w:rsidRPr="00DE7372">
        <w:t xml:space="preserve"> </w:t>
      </w:r>
      <w:r w:rsidRPr="00DE7372">
        <w:t>湖北最后</w:t>
      </w:r>
      <w:r>
        <w:rPr>
          <w:rFonts w:hint="eastAsia"/>
        </w:rPr>
        <w:t>》，</w:t>
      </w:r>
      <w:r w:rsidRPr="00DE7372">
        <w:t>http://finance.qq.com/a/20171126/013399.htm</w:t>
      </w:r>
      <w:r>
        <w:rPr>
          <w:rFonts w:hint="eastAsia"/>
        </w:rPr>
        <w:t>。</w:t>
      </w:r>
    </w:p>
  </w:footnote>
  <w:footnote w:id="6">
    <w:p w:rsidR="00244A26" w:rsidRPr="002551D5" w:rsidRDefault="00244A26" w:rsidP="00A670FC">
      <w:pPr>
        <w:pStyle w:val="a9"/>
        <w:spacing w:line="0" w:lineRule="atLeast"/>
      </w:pPr>
      <w:r>
        <w:rPr>
          <w:rStyle w:val="af1"/>
        </w:rPr>
        <w:footnoteRef/>
      </w:r>
      <w:r>
        <w:t xml:space="preserve"> </w:t>
      </w:r>
      <w:r w:rsidRPr="002551D5">
        <w:rPr>
          <w:rFonts w:hint="eastAsia"/>
        </w:rPr>
        <w:t>指通过系统自动运算找出事件核心词，并计算出与核心词同时出现频次最高的关联词，</w:t>
      </w:r>
      <w:proofErr w:type="gramStart"/>
      <w:r w:rsidRPr="002551D5">
        <w:rPr>
          <w:rFonts w:hint="eastAsia"/>
        </w:rPr>
        <w:t>图中心</w:t>
      </w:r>
      <w:proofErr w:type="gramEnd"/>
      <w:r w:rsidRPr="002551D5">
        <w:rPr>
          <w:rFonts w:hint="eastAsia"/>
        </w:rPr>
        <w:t>位置为核心词，其余为关联词，圈层颜色的</w:t>
      </w:r>
      <w:proofErr w:type="gramStart"/>
      <w:r w:rsidRPr="002551D5">
        <w:rPr>
          <w:rFonts w:hint="eastAsia"/>
        </w:rPr>
        <w:t>由深入浅代表</w:t>
      </w:r>
      <w:proofErr w:type="gramEnd"/>
      <w:r w:rsidRPr="002551D5">
        <w:rPr>
          <w:rFonts w:hint="eastAsia"/>
        </w:rPr>
        <w:t>关联程度由大到小，词汇圆圈的大小代表信息量的多少。</w:t>
      </w:r>
    </w:p>
  </w:footnote>
  <w:footnote w:id="7">
    <w:p w:rsidR="00244A26" w:rsidRPr="002551D5" w:rsidRDefault="00244A26" w:rsidP="00A670FC">
      <w:pPr>
        <w:pStyle w:val="a9"/>
        <w:spacing w:line="0" w:lineRule="atLeast"/>
      </w:pPr>
      <w:r>
        <w:rPr>
          <w:rStyle w:val="af1"/>
        </w:rPr>
        <w:footnoteRef/>
      </w:r>
      <w:r>
        <w:t xml:space="preserve"> </w:t>
      </w:r>
      <w:r w:rsidRPr="002551D5">
        <w:rPr>
          <w:rFonts w:hint="eastAsia"/>
        </w:rPr>
        <w:t>利用自然语义分析法，对事件、人物、品牌、地域中所提及的关键词进行分词聚合，呈现出被提及次数最多的关键词；字号越大的词组，被提及次数越多。</w:t>
      </w:r>
    </w:p>
  </w:footnote>
  <w:footnote w:id="8">
    <w:p w:rsidR="00244A26" w:rsidRDefault="00244A26" w:rsidP="00A670FC">
      <w:pPr>
        <w:pStyle w:val="a9"/>
        <w:spacing w:line="0" w:lineRule="atLeast"/>
      </w:pPr>
      <w:r>
        <w:rPr>
          <w:rStyle w:val="af1"/>
        </w:rPr>
        <w:footnoteRef/>
      </w:r>
      <w:r>
        <w:t xml:space="preserve"> </w:t>
      </w:r>
      <w:r>
        <w:rPr>
          <w:rFonts w:hint="eastAsia"/>
        </w:rPr>
        <w:t>网易财经，《</w:t>
      </w:r>
      <w:r w:rsidRPr="007F304F">
        <w:rPr>
          <w:rFonts w:hint="eastAsia"/>
        </w:rPr>
        <w:t>中国市级政府财政透明度排行</w:t>
      </w:r>
      <w:r w:rsidRPr="007F304F">
        <w:t>:</w:t>
      </w:r>
      <w:r w:rsidRPr="007F304F">
        <w:t>地方政府债务公开最差</w:t>
      </w:r>
      <w:r>
        <w:rPr>
          <w:rFonts w:hint="eastAsia"/>
        </w:rPr>
        <w:t>》，</w:t>
      </w:r>
      <w:r w:rsidRPr="007F304F">
        <w:t>http://money.163.com/17/0828/23/CSVCVDLF002580S6.html</w:t>
      </w:r>
      <w:r>
        <w:rPr>
          <w:rFonts w:hint="eastAsia"/>
        </w:rPr>
        <w:t>。</w:t>
      </w:r>
    </w:p>
  </w:footnote>
  <w:footnote w:id="9">
    <w:p w:rsidR="00244A26" w:rsidRDefault="00244A26" w:rsidP="00244A26">
      <w:pPr>
        <w:pStyle w:val="a9"/>
      </w:pPr>
      <w:r>
        <w:rPr>
          <w:rStyle w:val="af1"/>
        </w:rPr>
        <w:footnoteRef/>
      </w:r>
      <w:r>
        <w:t xml:space="preserve"> </w:t>
      </w:r>
      <w:r>
        <w:rPr>
          <w:rFonts w:hint="eastAsia"/>
        </w:rPr>
        <w:t>1.</w:t>
      </w:r>
      <w:r>
        <w:rPr>
          <w:rFonts w:hint="eastAsia"/>
        </w:rPr>
        <w:t>新华视点：</w:t>
      </w:r>
      <w:r w:rsidRPr="00D94947">
        <w:rPr>
          <w:rFonts w:hint="eastAsia"/>
        </w:rPr>
        <w:t>【地方政府花钱哪里最透明？财政部：上海山东深圳领先】</w:t>
      </w:r>
      <w:r>
        <w:rPr>
          <w:rFonts w:hint="eastAsia"/>
        </w:rPr>
        <w:t>；</w:t>
      </w:r>
      <w:r>
        <w:rPr>
          <w:rFonts w:hint="eastAsia"/>
        </w:rPr>
        <w:t>2.</w:t>
      </w:r>
      <w:r>
        <w:rPr>
          <w:rFonts w:hint="eastAsia"/>
        </w:rPr>
        <w:t>求是：</w:t>
      </w:r>
      <w:r w:rsidRPr="00D94947">
        <w:rPr>
          <w:rFonts w:hint="eastAsia"/>
        </w:rPr>
        <w:t>【地方政府花钱哪里最透明？】</w:t>
      </w:r>
      <w:r>
        <w:rPr>
          <w:rFonts w:hint="eastAsia"/>
        </w:rPr>
        <w:t>；</w:t>
      </w:r>
      <w:r>
        <w:rPr>
          <w:rFonts w:hint="eastAsia"/>
        </w:rPr>
        <w:t>3.</w:t>
      </w:r>
      <w:r>
        <w:rPr>
          <w:rFonts w:hint="eastAsia"/>
        </w:rPr>
        <w:t>凤凰财经：</w:t>
      </w:r>
      <w:r w:rsidRPr="003200C3">
        <w:rPr>
          <w:rFonts w:hint="eastAsia"/>
        </w:rPr>
        <w:t>【财政部首发地方预决算公开度排行榜：上海山东领先】</w:t>
      </w:r>
      <w:r>
        <w:rPr>
          <w:rFonts w:hint="eastAsia"/>
        </w:rPr>
        <w:t>；</w:t>
      </w:r>
      <w:r>
        <w:rPr>
          <w:rFonts w:hint="eastAsia"/>
        </w:rPr>
        <w:t>4.</w:t>
      </w:r>
      <w:r>
        <w:rPr>
          <w:rFonts w:hint="eastAsia"/>
        </w:rPr>
        <w:t>新浪财经：</w:t>
      </w:r>
      <w:r w:rsidRPr="003200C3">
        <w:rPr>
          <w:rFonts w:hint="eastAsia"/>
        </w:rPr>
        <w:t>【</w:t>
      </w:r>
      <w:r w:rsidRPr="003200C3">
        <w:t>2017</w:t>
      </w:r>
      <w:r w:rsidRPr="003200C3">
        <w:t>省级财政透明度排名：山东平均分最高</w:t>
      </w:r>
      <w:r w:rsidRPr="003200C3">
        <w:t xml:space="preserve"> </w:t>
      </w:r>
      <w:r w:rsidRPr="003200C3">
        <w:t>湖北最低】</w:t>
      </w:r>
      <w:r>
        <w:rPr>
          <w:rFonts w:hint="eastAsia"/>
        </w:rPr>
        <w:t>；</w:t>
      </w:r>
      <w:r>
        <w:rPr>
          <w:rFonts w:hint="eastAsia"/>
        </w:rPr>
        <w:t>5.</w:t>
      </w:r>
      <w:r>
        <w:rPr>
          <w:rFonts w:hint="eastAsia"/>
        </w:rPr>
        <w:t>财新网：</w:t>
      </w:r>
      <w:r w:rsidRPr="003200C3">
        <w:rPr>
          <w:rFonts w:hint="eastAsia"/>
        </w:rPr>
        <w:t>【上财</w:t>
      </w:r>
      <w:r w:rsidRPr="003200C3">
        <w:t>2017</w:t>
      </w:r>
      <w:r w:rsidRPr="003200C3">
        <w:t>年省级财政透明度排名</w:t>
      </w:r>
      <w:r w:rsidRPr="003200C3">
        <w:t xml:space="preserve"> </w:t>
      </w:r>
      <w:r>
        <w:t>山东第一湖北垫底】</w:t>
      </w:r>
      <w:r>
        <w:rPr>
          <w:rFonts w:hint="eastAsia"/>
        </w:rPr>
        <w:t>；</w:t>
      </w:r>
      <w:r>
        <w:rPr>
          <w:rFonts w:hint="eastAsia"/>
        </w:rPr>
        <w:t>6.</w:t>
      </w:r>
      <w:r>
        <w:rPr>
          <w:rFonts w:hint="eastAsia"/>
        </w:rPr>
        <w:t>中国经济网：【</w:t>
      </w:r>
      <w:r w:rsidRPr="003200C3">
        <w:t>2017</w:t>
      </w:r>
      <w:r w:rsidRPr="003200C3">
        <w:t>市级政府财政透明度排行</w:t>
      </w:r>
      <w:r w:rsidRPr="003200C3">
        <w:t xml:space="preserve"> </w:t>
      </w:r>
      <w:r w:rsidRPr="003200C3">
        <w:t>地方债务公开情况最差</w:t>
      </w:r>
      <w:r>
        <w:rPr>
          <w:rFonts w:hint="eastAsia"/>
        </w:rPr>
        <w:t>】。</w:t>
      </w:r>
    </w:p>
  </w:footnote>
  <w:footnote w:id="10">
    <w:p w:rsidR="00244A26" w:rsidRDefault="00244A26" w:rsidP="00244A26">
      <w:pPr>
        <w:pStyle w:val="a9"/>
        <w:wordWrap w:val="0"/>
      </w:pPr>
      <w:r>
        <w:rPr>
          <w:rStyle w:val="af1"/>
        </w:rPr>
        <w:footnoteRef/>
      </w:r>
      <w:r>
        <w:t xml:space="preserve"> </w:t>
      </w:r>
      <w:r>
        <w:rPr>
          <w:rFonts w:hint="eastAsia"/>
        </w:rPr>
        <w:t>资料来源：新</w:t>
      </w:r>
      <w:proofErr w:type="gramStart"/>
      <w:r>
        <w:rPr>
          <w:rFonts w:hint="eastAsia"/>
        </w:rPr>
        <w:t>浪微博</w:t>
      </w:r>
      <w:proofErr w:type="gramEnd"/>
      <w:r w:rsidRPr="002874D9">
        <w:t>https://weibo.com/1638782947/FwXsp6ed9?refer_flag=1001030106_&amp;type=comment</w:t>
      </w:r>
      <w:r>
        <w:rPr>
          <w:rFonts w:hint="eastAsia"/>
        </w:rPr>
        <w:t>。</w:t>
      </w:r>
    </w:p>
  </w:footnote>
  <w:footnote w:id="11">
    <w:p w:rsidR="00244A26" w:rsidRDefault="00244A26" w:rsidP="00244A26">
      <w:pPr>
        <w:pStyle w:val="a9"/>
        <w:wordWrap w:val="0"/>
      </w:pPr>
      <w:r>
        <w:rPr>
          <w:rStyle w:val="af1"/>
        </w:rPr>
        <w:footnoteRef/>
      </w:r>
      <w:r>
        <w:t xml:space="preserve"> </w:t>
      </w:r>
      <w:r>
        <w:rPr>
          <w:rFonts w:hint="eastAsia"/>
        </w:rPr>
        <w:t>资料来源：新</w:t>
      </w:r>
      <w:proofErr w:type="gramStart"/>
      <w:r>
        <w:rPr>
          <w:rFonts w:hint="eastAsia"/>
        </w:rPr>
        <w:t>浪微博</w:t>
      </w:r>
      <w:proofErr w:type="gramEnd"/>
      <w:r w:rsidRPr="009E23C9">
        <w:t>https://weibo.com/1699432410/FBRoizZBQ?refer_flag=1001030106_&amp;type=comment#_rnd1515236452699</w:t>
      </w:r>
      <w:r>
        <w:rPr>
          <w:rFonts w:hint="eastAsia"/>
        </w:rPr>
        <w:t>。</w:t>
      </w:r>
    </w:p>
  </w:footnote>
  <w:footnote w:id="12">
    <w:p w:rsidR="00244A26" w:rsidRDefault="00244A26" w:rsidP="00244A26">
      <w:pPr>
        <w:pStyle w:val="a9"/>
        <w:wordWrap w:val="0"/>
      </w:pPr>
      <w:r>
        <w:rPr>
          <w:rStyle w:val="af1"/>
        </w:rPr>
        <w:footnoteRef/>
      </w:r>
      <w:r>
        <w:t xml:space="preserve"> </w:t>
      </w:r>
      <w:r>
        <w:rPr>
          <w:rFonts w:hint="eastAsia"/>
        </w:rPr>
        <w:t>资料来源：新</w:t>
      </w:r>
      <w:proofErr w:type="gramStart"/>
      <w:r>
        <w:rPr>
          <w:rFonts w:hint="eastAsia"/>
        </w:rPr>
        <w:t>浪微博</w:t>
      </w:r>
      <w:proofErr w:type="gramEnd"/>
      <w:r w:rsidRPr="009E23C9">
        <w:t>https://weibo.com/1699432410/FBRoizZBQ?refer_flag=1001030106_&amp;type=comment#_rnd1515236452699</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E9" w:rsidRDefault="00054CE9">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51" w:rsidRDefault="0010644E">
    <w:pPr>
      <w:pStyle w:val="a7"/>
    </w:pPr>
    <w:r>
      <w:t>中国财税网络</w:t>
    </w:r>
    <w:r>
      <w:rPr>
        <w:rFonts w:hint="eastAsia"/>
      </w:rPr>
      <w:t>舆情分析</w:t>
    </w:r>
  </w:p>
  <w:p w:rsidR="00054CE9" w:rsidRDefault="00054CE9">
    <w:pPr>
      <w:pStyle w:val="a7"/>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B20"/>
    <w:multiLevelType w:val="hybridMultilevel"/>
    <w:tmpl w:val="BB74CC56"/>
    <w:lvl w:ilvl="0" w:tplc="0C7676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7368C3"/>
    <w:multiLevelType w:val="hybridMultilevel"/>
    <w:tmpl w:val="7C1CD74A"/>
    <w:lvl w:ilvl="0" w:tplc="6380A3B2">
      <w:start w:val="1"/>
      <w:numFmt w:val="japaneseCounting"/>
      <w:lvlText w:val="%1、"/>
      <w:lvlJc w:val="left"/>
      <w:pPr>
        <w:ind w:left="840" w:hanging="42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
    <w:nsid w:val="13775D70"/>
    <w:multiLevelType w:val="hybridMultilevel"/>
    <w:tmpl w:val="6DC0DBA8"/>
    <w:lvl w:ilvl="0" w:tplc="CF92A3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B2"/>
    <w:rsid w:val="00007FA2"/>
    <w:rsid w:val="00010599"/>
    <w:rsid w:val="00014184"/>
    <w:rsid w:val="000206A5"/>
    <w:rsid w:val="00022AFC"/>
    <w:rsid w:val="00033625"/>
    <w:rsid w:val="0005367D"/>
    <w:rsid w:val="00054CE9"/>
    <w:rsid w:val="00062FED"/>
    <w:rsid w:val="00064E07"/>
    <w:rsid w:val="00075046"/>
    <w:rsid w:val="00076727"/>
    <w:rsid w:val="000839EC"/>
    <w:rsid w:val="0009060D"/>
    <w:rsid w:val="000A2A80"/>
    <w:rsid w:val="000A7E10"/>
    <w:rsid w:val="000B005A"/>
    <w:rsid w:val="000B05AE"/>
    <w:rsid w:val="000B5FA8"/>
    <w:rsid w:val="000C7EC5"/>
    <w:rsid w:val="000D176E"/>
    <w:rsid w:val="000D539C"/>
    <w:rsid w:val="000E29DC"/>
    <w:rsid w:val="000E625A"/>
    <w:rsid w:val="000F3264"/>
    <w:rsid w:val="000F3EB2"/>
    <w:rsid w:val="00102BCE"/>
    <w:rsid w:val="0010339A"/>
    <w:rsid w:val="00106377"/>
    <w:rsid w:val="0010644E"/>
    <w:rsid w:val="00112790"/>
    <w:rsid w:val="0013171D"/>
    <w:rsid w:val="00134A4E"/>
    <w:rsid w:val="00143DBD"/>
    <w:rsid w:val="001553D6"/>
    <w:rsid w:val="00157772"/>
    <w:rsid w:val="00167618"/>
    <w:rsid w:val="00172C95"/>
    <w:rsid w:val="00173C76"/>
    <w:rsid w:val="00182726"/>
    <w:rsid w:val="00183385"/>
    <w:rsid w:val="00197BF8"/>
    <w:rsid w:val="001A1C36"/>
    <w:rsid w:val="001A2803"/>
    <w:rsid w:val="001D2C07"/>
    <w:rsid w:val="001E019E"/>
    <w:rsid w:val="001E6C23"/>
    <w:rsid w:val="00234AC2"/>
    <w:rsid w:val="00244A26"/>
    <w:rsid w:val="002466EB"/>
    <w:rsid w:val="00247684"/>
    <w:rsid w:val="00247DC5"/>
    <w:rsid w:val="00251707"/>
    <w:rsid w:val="00256F44"/>
    <w:rsid w:val="00261BF1"/>
    <w:rsid w:val="00265E38"/>
    <w:rsid w:val="00266F05"/>
    <w:rsid w:val="00293330"/>
    <w:rsid w:val="0029369D"/>
    <w:rsid w:val="002A1D19"/>
    <w:rsid w:val="002A385D"/>
    <w:rsid w:val="002A5B1B"/>
    <w:rsid w:val="002B2C0C"/>
    <w:rsid w:val="002E7DC9"/>
    <w:rsid w:val="00306771"/>
    <w:rsid w:val="003126AF"/>
    <w:rsid w:val="00317FF9"/>
    <w:rsid w:val="0032216D"/>
    <w:rsid w:val="00332B2C"/>
    <w:rsid w:val="0033425E"/>
    <w:rsid w:val="003348B5"/>
    <w:rsid w:val="00352D14"/>
    <w:rsid w:val="00360622"/>
    <w:rsid w:val="00361190"/>
    <w:rsid w:val="00361A25"/>
    <w:rsid w:val="00366FA2"/>
    <w:rsid w:val="00367E0F"/>
    <w:rsid w:val="003762CC"/>
    <w:rsid w:val="0039236B"/>
    <w:rsid w:val="00394D74"/>
    <w:rsid w:val="003A14AB"/>
    <w:rsid w:val="003A4556"/>
    <w:rsid w:val="003B2FA2"/>
    <w:rsid w:val="003B7EB9"/>
    <w:rsid w:val="003B7FBB"/>
    <w:rsid w:val="003C3410"/>
    <w:rsid w:val="00401457"/>
    <w:rsid w:val="00402EE8"/>
    <w:rsid w:val="00403D57"/>
    <w:rsid w:val="004114E9"/>
    <w:rsid w:val="004133F5"/>
    <w:rsid w:val="004156B2"/>
    <w:rsid w:val="004261C2"/>
    <w:rsid w:val="00430454"/>
    <w:rsid w:val="00436AF8"/>
    <w:rsid w:val="004439C5"/>
    <w:rsid w:val="00457DEC"/>
    <w:rsid w:val="004612EF"/>
    <w:rsid w:val="00464BDA"/>
    <w:rsid w:val="00492DAF"/>
    <w:rsid w:val="00495FBA"/>
    <w:rsid w:val="004A6524"/>
    <w:rsid w:val="004B711B"/>
    <w:rsid w:val="004C00E2"/>
    <w:rsid w:val="004C3695"/>
    <w:rsid w:val="004C7B0C"/>
    <w:rsid w:val="005028FD"/>
    <w:rsid w:val="00504AA3"/>
    <w:rsid w:val="005139D6"/>
    <w:rsid w:val="005151A7"/>
    <w:rsid w:val="00541C10"/>
    <w:rsid w:val="00547C3F"/>
    <w:rsid w:val="00551FC7"/>
    <w:rsid w:val="00555DFA"/>
    <w:rsid w:val="0057341E"/>
    <w:rsid w:val="0057427E"/>
    <w:rsid w:val="00574D17"/>
    <w:rsid w:val="005844E5"/>
    <w:rsid w:val="00592266"/>
    <w:rsid w:val="005C66FE"/>
    <w:rsid w:val="005D53DE"/>
    <w:rsid w:val="005D683E"/>
    <w:rsid w:val="005E042F"/>
    <w:rsid w:val="005E7990"/>
    <w:rsid w:val="005F3D91"/>
    <w:rsid w:val="005F79E7"/>
    <w:rsid w:val="0060220E"/>
    <w:rsid w:val="00610CB7"/>
    <w:rsid w:val="00631A61"/>
    <w:rsid w:val="00637EFF"/>
    <w:rsid w:val="006410C6"/>
    <w:rsid w:val="00641189"/>
    <w:rsid w:val="00650D4D"/>
    <w:rsid w:val="00665D49"/>
    <w:rsid w:val="00674B5B"/>
    <w:rsid w:val="00684EDD"/>
    <w:rsid w:val="00690B68"/>
    <w:rsid w:val="006956F9"/>
    <w:rsid w:val="006B637C"/>
    <w:rsid w:val="006C1020"/>
    <w:rsid w:val="006C701D"/>
    <w:rsid w:val="006D04E0"/>
    <w:rsid w:val="006E309D"/>
    <w:rsid w:val="00714A0A"/>
    <w:rsid w:val="00721516"/>
    <w:rsid w:val="00722DF8"/>
    <w:rsid w:val="007246AC"/>
    <w:rsid w:val="0073536F"/>
    <w:rsid w:val="00737DCE"/>
    <w:rsid w:val="00743047"/>
    <w:rsid w:val="007540F4"/>
    <w:rsid w:val="007569E9"/>
    <w:rsid w:val="007843CE"/>
    <w:rsid w:val="0078470E"/>
    <w:rsid w:val="007A429B"/>
    <w:rsid w:val="007B0E6C"/>
    <w:rsid w:val="007E313C"/>
    <w:rsid w:val="007F038D"/>
    <w:rsid w:val="007F7198"/>
    <w:rsid w:val="00805E7C"/>
    <w:rsid w:val="008079D3"/>
    <w:rsid w:val="00812C86"/>
    <w:rsid w:val="00843DEE"/>
    <w:rsid w:val="00854FF5"/>
    <w:rsid w:val="00857E6F"/>
    <w:rsid w:val="008642AA"/>
    <w:rsid w:val="008729BF"/>
    <w:rsid w:val="008767E0"/>
    <w:rsid w:val="00880403"/>
    <w:rsid w:val="00890138"/>
    <w:rsid w:val="00891F6E"/>
    <w:rsid w:val="00892B40"/>
    <w:rsid w:val="00896E08"/>
    <w:rsid w:val="008A19EF"/>
    <w:rsid w:val="008D116F"/>
    <w:rsid w:val="008E3E74"/>
    <w:rsid w:val="008E7FC8"/>
    <w:rsid w:val="008F0E4A"/>
    <w:rsid w:val="008F1204"/>
    <w:rsid w:val="008F50CD"/>
    <w:rsid w:val="00910B5A"/>
    <w:rsid w:val="009158B8"/>
    <w:rsid w:val="00921760"/>
    <w:rsid w:val="009411B6"/>
    <w:rsid w:val="00942E4F"/>
    <w:rsid w:val="0094465C"/>
    <w:rsid w:val="00945228"/>
    <w:rsid w:val="00967C89"/>
    <w:rsid w:val="009738F3"/>
    <w:rsid w:val="00980274"/>
    <w:rsid w:val="00986F62"/>
    <w:rsid w:val="009A2AA9"/>
    <w:rsid w:val="009B0B96"/>
    <w:rsid w:val="009B5658"/>
    <w:rsid w:val="009B7315"/>
    <w:rsid w:val="009F1B79"/>
    <w:rsid w:val="009F6D57"/>
    <w:rsid w:val="00A20CE9"/>
    <w:rsid w:val="00A272EB"/>
    <w:rsid w:val="00A36312"/>
    <w:rsid w:val="00A523B1"/>
    <w:rsid w:val="00A53CF5"/>
    <w:rsid w:val="00A5790C"/>
    <w:rsid w:val="00A670FC"/>
    <w:rsid w:val="00A72CED"/>
    <w:rsid w:val="00A73DD3"/>
    <w:rsid w:val="00A75CD7"/>
    <w:rsid w:val="00AA42FC"/>
    <w:rsid w:val="00AB6CAC"/>
    <w:rsid w:val="00AC417F"/>
    <w:rsid w:val="00AE3D69"/>
    <w:rsid w:val="00AF00E5"/>
    <w:rsid w:val="00B0402B"/>
    <w:rsid w:val="00B12812"/>
    <w:rsid w:val="00B229B2"/>
    <w:rsid w:val="00B22DAA"/>
    <w:rsid w:val="00B23946"/>
    <w:rsid w:val="00B40D51"/>
    <w:rsid w:val="00B546AB"/>
    <w:rsid w:val="00B62EEB"/>
    <w:rsid w:val="00B6592E"/>
    <w:rsid w:val="00B77AB5"/>
    <w:rsid w:val="00B82B25"/>
    <w:rsid w:val="00B9271A"/>
    <w:rsid w:val="00B92FD3"/>
    <w:rsid w:val="00B965E0"/>
    <w:rsid w:val="00BB2FF4"/>
    <w:rsid w:val="00BD2903"/>
    <w:rsid w:val="00BD34C2"/>
    <w:rsid w:val="00BD49AF"/>
    <w:rsid w:val="00BD5713"/>
    <w:rsid w:val="00BD69FC"/>
    <w:rsid w:val="00BD6AF0"/>
    <w:rsid w:val="00BE2988"/>
    <w:rsid w:val="00BE713D"/>
    <w:rsid w:val="00BF1A86"/>
    <w:rsid w:val="00BF3ED5"/>
    <w:rsid w:val="00BF50F2"/>
    <w:rsid w:val="00BF57E5"/>
    <w:rsid w:val="00BF5AC4"/>
    <w:rsid w:val="00BF72C8"/>
    <w:rsid w:val="00C04738"/>
    <w:rsid w:val="00C1190B"/>
    <w:rsid w:val="00C2049C"/>
    <w:rsid w:val="00C52124"/>
    <w:rsid w:val="00C52C00"/>
    <w:rsid w:val="00C535DB"/>
    <w:rsid w:val="00C565B2"/>
    <w:rsid w:val="00C75D2D"/>
    <w:rsid w:val="00C917D8"/>
    <w:rsid w:val="00C92349"/>
    <w:rsid w:val="00CA25BC"/>
    <w:rsid w:val="00CA5143"/>
    <w:rsid w:val="00CA6586"/>
    <w:rsid w:val="00CC38B6"/>
    <w:rsid w:val="00CC534B"/>
    <w:rsid w:val="00CC61F1"/>
    <w:rsid w:val="00CE5B54"/>
    <w:rsid w:val="00CE6280"/>
    <w:rsid w:val="00CE6B6C"/>
    <w:rsid w:val="00CF079B"/>
    <w:rsid w:val="00D16F0C"/>
    <w:rsid w:val="00D27D56"/>
    <w:rsid w:val="00D355C5"/>
    <w:rsid w:val="00D566A1"/>
    <w:rsid w:val="00D57AB2"/>
    <w:rsid w:val="00D61D0D"/>
    <w:rsid w:val="00D625DB"/>
    <w:rsid w:val="00D64337"/>
    <w:rsid w:val="00D70647"/>
    <w:rsid w:val="00D85BC7"/>
    <w:rsid w:val="00D87E68"/>
    <w:rsid w:val="00D96823"/>
    <w:rsid w:val="00DA04C3"/>
    <w:rsid w:val="00DA433F"/>
    <w:rsid w:val="00DB72F4"/>
    <w:rsid w:val="00DC580E"/>
    <w:rsid w:val="00DD0F7B"/>
    <w:rsid w:val="00DF1E51"/>
    <w:rsid w:val="00E02950"/>
    <w:rsid w:val="00E0625F"/>
    <w:rsid w:val="00E1110B"/>
    <w:rsid w:val="00E26AF8"/>
    <w:rsid w:val="00E2794B"/>
    <w:rsid w:val="00E27CEE"/>
    <w:rsid w:val="00E31E9E"/>
    <w:rsid w:val="00E3381A"/>
    <w:rsid w:val="00E404F7"/>
    <w:rsid w:val="00E467A5"/>
    <w:rsid w:val="00E674AE"/>
    <w:rsid w:val="00E72C4D"/>
    <w:rsid w:val="00E752C3"/>
    <w:rsid w:val="00E91FC1"/>
    <w:rsid w:val="00EA514F"/>
    <w:rsid w:val="00EA7B0B"/>
    <w:rsid w:val="00EB4896"/>
    <w:rsid w:val="00EB5EB3"/>
    <w:rsid w:val="00EC06BA"/>
    <w:rsid w:val="00ED67B9"/>
    <w:rsid w:val="00EE4BEA"/>
    <w:rsid w:val="00EF5C93"/>
    <w:rsid w:val="00F0130B"/>
    <w:rsid w:val="00F01804"/>
    <w:rsid w:val="00F230AA"/>
    <w:rsid w:val="00F322C9"/>
    <w:rsid w:val="00F351CB"/>
    <w:rsid w:val="00F36DD6"/>
    <w:rsid w:val="00F43866"/>
    <w:rsid w:val="00F507A1"/>
    <w:rsid w:val="00F62378"/>
    <w:rsid w:val="00F65816"/>
    <w:rsid w:val="00F7756F"/>
    <w:rsid w:val="00F81F79"/>
    <w:rsid w:val="00FC6803"/>
    <w:rsid w:val="00FD018F"/>
    <w:rsid w:val="00FD0E51"/>
    <w:rsid w:val="00FD2557"/>
    <w:rsid w:val="00FD79E4"/>
    <w:rsid w:val="00FE1CE7"/>
    <w:rsid w:val="00FF4741"/>
    <w:rsid w:val="07C01B2E"/>
    <w:rsid w:val="11792EEE"/>
    <w:rsid w:val="12244F80"/>
    <w:rsid w:val="168577C7"/>
    <w:rsid w:val="1CBB712D"/>
    <w:rsid w:val="20E332C9"/>
    <w:rsid w:val="326C41E2"/>
    <w:rsid w:val="391D4221"/>
    <w:rsid w:val="53A55865"/>
    <w:rsid w:val="7BFE7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0427437-100A-4CFC-822D-F8C48E95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uiPriority="0" w:unhideWhenUsed="1"/>
    <w:lsdException w:name="heading 7"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60" w:after="240"/>
      <w:jc w:val="center"/>
      <w:outlineLvl w:val="0"/>
    </w:pPr>
    <w:rPr>
      <w:rFonts w:ascii="微软雅黑" w:eastAsia="微软雅黑" w:hAnsi="微软雅黑" w:cs="Times New Roman"/>
      <w:b/>
      <w:bCs/>
      <w:kern w:val="44"/>
      <w:sz w:val="36"/>
      <w:szCs w:val="36"/>
    </w:rPr>
  </w:style>
  <w:style w:type="paragraph" w:styleId="2">
    <w:name w:val="heading 2"/>
    <w:basedOn w:val="a"/>
    <w:next w:val="a"/>
    <w:link w:val="2Char"/>
    <w:unhideWhenUsed/>
    <w:qFormat/>
    <w:pPr>
      <w:keepNext/>
      <w:keepLines/>
      <w:spacing w:before="320" w:after="60" w:line="400" w:lineRule="exact"/>
      <w:jc w:val="center"/>
      <w:outlineLvl w:val="1"/>
    </w:pPr>
    <w:rPr>
      <w:rFonts w:ascii="黑体" w:eastAsia="黑体" w:hAnsi="黑体" w:cs="Times New Roman"/>
      <w:bCs/>
      <w:sz w:val="30"/>
      <w:szCs w:val="32"/>
    </w:rPr>
  </w:style>
  <w:style w:type="paragraph" w:styleId="3">
    <w:name w:val="heading 3"/>
    <w:basedOn w:val="a"/>
    <w:next w:val="a"/>
    <w:link w:val="3Char"/>
    <w:unhideWhenUsed/>
    <w:qFormat/>
    <w:pPr>
      <w:keepNext/>
      <w:keepLines/>
      <w:adjustRightInd w:val="0"/>
      <w:snapToGrid w:val="0"/>
      <w:spacing w:before="320" w:after="60" w:line="400" w:lineRule="exact"/>
      <w:jc w:val="left"/>
      <w:outlineLvl w:val="2"/>
    </w:pPr>
    <w:rPr>
      <w:rFonts w:ascii="宋体" w:eastAsia="黑体" w:hAnsi="宋体" w:cs="Times New Roman"/>
      <w:bCs/>
      <w:sz w:val="24"/>
      <w:szCs w:val="32"/>
    </w:rPr>
  </w:style>
  <w:style w:type="paragraph" w:styleId="4">
    <w:name w:val="heading 4"/>
    <w:basedOn w:val="a"/>
    <w:next w:val="a"/>
    <w:link w:val="4Char"/>
    <w:unhideWhenUsed/>
    <w:qFormat/>
    <w:pPr>
      <w:keepNext/>
      <w:keepLines/>
      <w:spacing w:before="160" w:after="60" w:line="400" w:lineRule="exact"/>
      <w:jc w:val="left"/>
      <w:outlineLvl w:val="3"/>
    </w:pPr>
    <w:rPr>
      <w:rFonts w:ascii="Cambria" w:eastAsia="黑体" w:hAnsi="Cambria" w:cs="Times New Roman"/>
      <w:bCs/>
      <w:sz w:val="24"/>
      <w:szCs w:val="28"/>
    </w:rPr>
  </w:style>
  <w:style w:type="paragraph" w:styleId="5">
    <w:name w:val="heading 5"/>
    <w:basedOn w:val="a"/>
    <w:next w:val="a"/>
    <w:link w:val="5Char"/>
    <w:uiPriority w:val="9"/>
    <w:unhideWhenUsed/>
    <w:qFormat/>
    <w:pPr>
      <w:keepNext/>
      <w:keepLines/>
      <w:spacing w:before="120" w:after="240" w:line="400" w:lineRule="exact"/>
      <w:jc w:val="center"/>
      <w:outlineLvl w:val="4"/>
    </w:pPr>
    <w:rPr>
      <w:rFonts w:ascii="微软雅黑" w:eastAsia="微软雅黑" w:hAnsi="微软雅黑" w:cs="宋体"/>
      <w:szCs w:val="24"/>
    </w:rPr>
  </w:style>
  <w:style w:type="paragraph" w:styleId="6">
    <w:name w:val="heading 6"/>
    <w:basedOn w:val="a"/>
    <w:next w:val="a"/>
    <w:link w:val="6Char"/>
    <w:unhideWhenUsed/>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unhideWhenUsed/>
    <w:qFormat/>
    <w:pPr>
      <w:keepNext/>
      <w:keepLines/>
      <w:snapToGrid w:val="0"/>
      <w:jc w:val="left"/>
      <w:outlineLvl w:val="6"/>
    </w:pPr>
    <w:rPr>
      <w:rFonts w:ascii="微软雅黑" w:eastAsia="微软雅黑" w:hAnsi="微软雅黑" w:cs="Times New Roman"/>
      <w:bC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微软雅黑" w:eastAsia="微软雅黑" w:hAnsi="微软雅黑" w:cs="Times New Roman"/>
      <w:b/>
      <w:bCs/>
      <w:kern w:val="44"/>
      <w:sz w:val="36"/>
      <w:szCs w:val="36"/>
    </w:rPr>
  </w:style>
  <w:style w:type="character" w:customStyle="1" w:styleId="2Char">
    <w:name w:val="标题 2 Char"/>
    <w:basedOn w:val="a0"/>
    <w:link w:val="2"/>
    <w:qFormat/>
    <w:rPr>
      <w:rFonts w:ascii="黑体" w:eastAsia="黑体" w:hAnsi="黑体" w:cs="Times New Roman"/>
      <w:bCs/>
      <w:sz w:val="30"/>
      <w:szCs w:val="32"/>
    </w:rPr>
  </w:style>
  <w:style w:type="character" w:customStyle="1" w:styleId="3Char">
    <w:name w:val="标题 3 Char"/>
    <w:basedOn w:val="a0"/>
    <w:link w:val="3"/>
    <w:qFormat/>
    <w:rPr>
      <w:rFonts w:ascii="宋体" w:eastAsia="黑体" w:hAnsi="宋体" w:cs="Times New Roman"/>
      <w:bCs/>
      <w:sz w:val="24"/>
      <w:szCs w:val="32"/>
    </w:rPr>
  </w:style>
  <w:style w:type="character" w:customStyle="1" w:styleId="4Char">
    <w:name w:val="标题 4 Char"/>
    <w:basedOn w:val="a0"/>
    <w:link w:val="4"/>
    <w:qFormat/>
    <w:rPr>
      <w:rFonts w:ascii="Cambria" w:eastAsia="黑体" w:hAnsi="Cambria" w:cs="Times New Roman"/>
      <w:bCs/>
      <w:sz w:val="24"/>
      <w:szCs w:val="28"/>
    </w:rPr>
  </w:style>
  <w:style w:type="character" w:customStyle="1" w:styleId="5Char">
    <w:name w:val="标题 5 Char"/>
    <w:basedOn w:val="a0"/>
    <w:link w:val="5"/>
    <w:uiPriority w:val="9"/>
    <w:rPr>
      <w:rFonts w:ascii="微软雅黑" w:eastAsia="微软雅黑" w:hAnsi="微软雅黑" w:cs="宋体"/>
      <w:szCs w:val="24"/>
    </w:rPr>
  </w:style>
  <w:style w:type="character" w:customStyle="1" w:styleId="6Char">
    <w:name w:val="标题 6 Char"/>
    <w:basedOn w:val="a0"/>
    <w:link w:val="6"/>
    <w:rPr>
      <w:rFonts w:ascii="Calibri Light" w:eastAsia="宋体" w:hAnsi="Calibri Light" w:cs="Times New Roman"/>
      <w:b/>
      <w:bCs/>
      <w:sz w:val="24"/>
      <w:szCs w:val="24"/>
    </w:rPr>
  </w:style>
  <w:style w:type="character" w:customStyle="1" w:styleId="7Char">
    <w:name w:val="标题 7 Char"/>
    <w:basedOn w:val="a0"/>
    <w:link w:val="7"/>
    <w:qFormat/>
    <w:rPr>
      <w:rFonts w:ascii="微软雅黑" w:eastAsia="微软雅黑" w:hAnsi="微软雅黑" w:cs="Times New Roman"/>
      <w:bCs/>
      <w:sz w:val="18"/>
      <w:szCs w:val="24"/>
    </w:rPr>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rPr>
      <w:b/>
      <w:bCs/>
    </w:rPr>
  </w:style>
  <w:style w:type="paragraph" w:styleId="30">
    <w:name w:val="toc 3"/>
    <w:basedOn w:val="a"/>
    <w:next w:val="a"/>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5">
    <w:name w:val="Balloon Text"/>
    <w:basedOn w:val="a"/>
    <w:link w:val="Char1"/>
    <w:uiPriority w:val="99"/>
    <w:qFormat/>
    <w:rPr>
      <w:rFonts w:ascii="Calibri" w:eastAsia="宋体" w:hAnsi="Calibri" w:cs="Times New Roman"/>
      <w:sz w:val="18"/>
      <w:szCs w:val="18"/>
    </w:rPr>
  </w:style>
  <w:style w:type="character" w:customStyle="1" w:styleId="Char1">
    <w:name w:val="批注框文本 Char"/>
    <w:basedOn w:val="a0"/>
    <w:link w:val="a5"/>
    <w:uiPriority w:val="99"/>
    <w:qFormat/>
    <w:rPr>
      <w:rFonts w:ascii="Calibri" w:eastAsia="宋体" w:hAnsi="Calibri"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character" w:customStyle="1" w:styleId="Char2">
    <w:name w:val="页脚 Char"/>
    <w:basedOn w:val="a0"/>
    <w:link w:val="a6"/>
    <w:uiPriority w:val="99"/>
    <w:qFormat/>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qFormat/>
    <w:rPr>
      <w:sz w:val="18"/>
      <w:szCs w:val="18"/>
    </w:rPr>
  </w:style>
  <w:style w:type="paragraph" w:styleId="10">
    <w:name w:val="toc 1"/>
    <w:basedOn w:val="a"/>
    <w:next w:val="a"/>
    <w:uiPriority w:val="39"/>
    <w:unhideWhenUsed/>
    <w:qFormat/>
    <w:pPr>
      <w:widowControl/>
      <w:spacing w:before="120"/>
      <w:ind w:leftChars="200" w:left="420"/>
      <w:jc w:val="left"/>
    </w:pPr>
    <w:rPr>
      <w:rFonts w:ascii="Calibri" w:eastAsia="宋体" w:hAnsi="Calibri" w:cs="Times New Roman"/>
      <w:b/>
      <w:bCs/>
      <w:kern w:val="0"/>
      <w:sz w:val="28"/>
    </w:rPr>
  </w:style>
  <w:style w:type="paragraph" w:styleId="a8">
    <w:name w:val="Subtitle"/>
    <w:basedOn w:val="a"/>
    <w:next w:val="a"/>
    <w:link w:val="Char4"/>
    <w:uiPriority w:val="11"/>
    <w:qFormat/>
    <w:pPr>
      <w:spacing w:before="360" w:after="120" w:line="400" w:lineRule="exact"/>
      <w:ind w:right="561" w:firstLineChars="550" w:firstLine="550"/>
    </w:pPr>
    <w:rPr>
      <w:rFonts w:ascii="微软雅黑" w:eastAsia="微软雅黑" w:hAnsi="微软雅黑" w:cs="Times New Roman"/>
      <w:b/>
      <w:sz w:val="28"/>
      <w:szCs w:val="24"/>
    </w:rPr>
  </w:style>
  <w:style w:type="character" w:customStyle="1" w:styleId="Char4">
    <w:name w:val="副标题 Char"/>
    <w:basedOn w:val="a0"/>
    <w:link w:val="a8"/>
    <w:uiPriority w:val="11"/>
    <w:rPr>
      <w:rFonts w:ascii="微软雅黑" w:eastAsia="微软雅黑" w:hAnsi="微软雅黑" w:cs="Times New Roman"/>
      <w:b/>
      <w:sz w:val="28"/>
      <w:szCs w:val="24"/>
    </w:rPr>
  </w:style>
  <w:style w:type="paragraph" w:styleId="a9">
    <w:name w:val="footnote text"/>
    <w:basedOn w:val="a"/>
    <w:link w:val="Char5"/>
    <w:uiPriority w:val="99"/>
    <w:qFormat/>
    <w:pPr>
      <w:snapToGrid w:val="0"/>
      <w:jc w:val="left"/>
    </w:pPr>
    <w:rPr>
      <w:rFonts w:ascii="Calibri" w:eastAsia="宋体" w:hAnsi="Calibri" w:cs="Times New Roman"/>
      <w:sz w:val="18"/>
      <w:szCs w:val="24"/>
    </w:rPr>
  </w:style>
  <w:style w:type="character" w:customStyle="1" w:styleId="Char5">
    <w:name w:val="脚注文本 Char"/>
    <w:basedOn w:val="a0"/>
    <w:link w:val="a9"/>
    <w:uiPriority w:val="99"/>
    <w:rPr>
      <w:rFonts w:ascii="Calibri" w:eastAsia="宋体" w:hAnsi="Calibri" w:cs="Times New Roman"/>
      <w:sz w:val="18"/>
      <w:szCs w:val="24"/>
    </w:rPr>
  </w:style>
  <w:style w:type="paragraph" w:styleId="20">
    <w:name w:val="toc 2"/>
    <w:basedOn w:val="a"/>
    <w:next w:val="a"/>
    <w:uiPriority w:val="39"/>
    <w:unhideWhenUsed/>
    <w:qFormat/>
    <w:pPr>
      <w:widowControl/>
      <w:spacing w:after="100" w:line="276" w:lineRule="auto"/>
      <w:ind w:left="216"/>
      <w:jc w:val="left"/>
    </w:pPr>
    <w:rPr>
      <w:rFonts w:ascii="Calibri" w:eastAsia="宋体" w:hAnsi="Calibri" w:cs="Times New Roman"/>
      <w:kern w:val="0"/>
      <w:sz w:val="24"/>
    </w:rPr>
  </w:style>
  <w:style w:type="paragraph" w:styleId="aa">
    <w:name w:val="Normal (Web)"/>
    <w:basedOn w:val="a"/>
    <w:uiPriority w:val="99"/>
    <w:unhideWhenUsed/>
    <w:qFormat/>
    <w:pPr>
      <w:widowControl/>
      <w:spacing w:before="100" w:beforeAutospacing="1" w:after="100" w:afterAutospacing="1"/>
      <w:jc w:val="left"/>
    </w:pPr>
    <w:rPr>
      <w:rFonts w:ascii="Times New Roman" w:hAnsi="Times New Roman" w:cs="Times New Roman"/>
      <w:kern w:val="0"/>
      <w:sz w:val="24"/>
      <w:szCs w:val="24"/>
    </w:rPr>
  </w:style>
  <w:style w:type="paragraph" w:styleId="ab">
    <w:name w:val="Title"/>
    <w:basedOn w:val="a"/>
    <w:next w:val="a"/>
    <w:link w:val="Char6"/>
    <w:uiPriority w:val="10"/>
    <w:qFormat/>
    <w:pPr>
      <w:spacing w:before="240" w:after="60"/>
      <w:jc w:val="center"/>
      <w:outlineLvl w:val="0"/>
    </w:pPr>
    <w:rPr>
      <w:rFonts w:ascii="Cambria" w:eastAsia="微软雅黑" w:hAnsi="Cambria" w:cs="Times New Roman"/>
      <w:bCs/>
      <w:szCs w:val="32"/>
    </w:rPr>
  </w:style>
  <w:style w:type="character" w:customStyle="1" w:styleId="Char6">
    <w:name w:val="标题 Char"/>
    <w:basedOn w:val="a0"/>
    <w:link w:val="ab"/>
    <w:uiPriority w:val="10"/>
    <w:rPr>
      <w:rFonts w:ascii="Cambria" w:eastAsia="微软雅黑" w:hAnsi="Cambria" w:cs="Times New Roman"/>
      <w:bCs/>
      <w:szCs w:val="32"/>
    </w:rPr>
  </w:style>
  <w:style w:type="character" w:styleId="ac">
    <w:name w:val="Strong"/>
    <w:basedOn w:val="a0"/>
    <w:uiPriority w:val="22"/>
    <w:qFormat/>
    <w:rPr>
      <w:b/>
      <w:bCs/>
    </w:rPr>
  </w:style>
  <w:style w:type="character" w:styleId="ad">
    <w:name w:val="FollowedHyperlink"/>
    <w:basedOn w:val="a0"/>
    <w:qFormat/>
    <w:rPr>
      <w:color w:val="954F72"/>
      <w:u w:val="single"/>
    </w:rPr>
  </w:style>
  <w:style w:type="character" w:styleId="ae">
    <w:name w:val="Emphasis"/>
    <w:uiPriority w:val="20"/>
    <w:qFormat/>
    <w:rPr>
      <w:rFonts w:eastAsia="微软雅黑" w:cs="Times New Roman"/>
      <w:sz w:val="28"/>
    </w:rPr>
  </w:style>
  <w:style w:type="character" w:styleId="af">
    <w:name w:val="Hyperlink"/>
    <w:basedOn w:val="a0"/>
    <w:uiPriority w:val="99"/>
    <w:qFormat/>
    <w:rPr>
      <w:color w:val="0000FF"/>
      <w:u w:val="single"/>
    </w:rPr>
  </w:style>
  <w:style w:type="character" w:styleId="af0">
    <w:name w:val="annotation reference"/>
    <w:basedOn w:val="a0"/>
    <w:uiPriority w:val="99"/>
    <w:unhideWhenUsed/>
    <w:rPr>
      <w:sz w:val="21"/>
      <w:szCs w:val="21"/>
    </w:rPr>
  </w:style>
  <w:style w:type="character" w:styleId="af1">
    <w:name w:val="footnote reference"/>
    <w:basedOn w:val="a0"/>
    <w:uiPriority w:val="99"/>
    <w:qFormat/>
    <w:rPr>
      <w:vertAlign w:val="superscript"/>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unhideWhenUsed/>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List Accent 2"/>
    <w:basedOn w:val="a1"/>
    <w:uiPriority w:val="61"/>
    <w:qFormat/>
    <w:rPr>
      <w:rFonts w:ascii="Times New Roman" w:eastAsia="宋体" w:hAnsi="Times New Roman" w:cs="Times New Roman"/>
    </w:rPr>
    <w:tblPr>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1-1">
    <w:name w:val="Medium Shading 1 Accent 1"/>
    <w:basedOn w:val="a1"/>
    <w:uiPriority w:val="63"/>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0">
    <w:name w:val="Colorful List Accent 2"/>
    <w:basedOn w:val="a1"/>
    <w:uiPriority w:val="72"/>
    <w:qFormat/>
    <w:rPr>
      <w:rFonts w:ascii="Times New Roman" w:eastAsia="宋体" w:hAnsi="Times New Roman" w:cs="Times New Roman"/>
      <w:color w:val="000000"/>
    </w:rP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paragraph" w:customStyle="1" w:styleId="41">
    <w:name w:val="标题 41"/>
    <w:basedOn w:val="a"/>
    <w:next w:val="a"/>
    <w:uiPriority w:val="9"/>
    <w:unhideWhenUsed/>
    <w:qFormat/>
    <w:pPr>
      <w:keepNext/>
      <w:keepLines/>
      <w:spacing w:before="160" w:after="60" w:line="400" w:lineRule="exact"/>
      <w:jc w:val="left"/>
      <w:outlineLvl w:val="3"/>
    </w:pPr>
    <w:rPr>
      <w:rFonts w:ascii="Cambria" w:eastAsia="黑体" w:hAnsi="Cambria" w:cs="Times New Roman"/>
      <w:bCs/>
      <w:sz w:val="24"/>
      <w:szCs w:val="28"/>
    </w:rPr>
  </w:style>
  <w:style w:type="paragraph" w:customStyle="1" w:styleId="11">
    <w:name w:val="表1"/>
    <w:basedOn w:val="a"/>
    <w:next w:val="a"/>
    <w:uiPriority w:val="10"/>
    <w:qFormat/>
    <w:pPr>
      <w:spacing w:line="400" w:lineRule="exact"/>
      <w:jc w:val="center"/>
    </w:pPr>
    <w:rPr>
      <w:rFonts w:ascii="楷体" w:eastAsia="楷体" w:hAnsi="楷体" w:cs="微软雅黑"/>
      <w:szCs w:val="21"/>
    </w:rPr>
  </w:style>
  <w:style w:type="paragraph" w:customStyle="1" w:styleId="12">
    <w:name w:val="列出段落1"/>
    <w:basedOn w:val="a"/>
    <w:uiPriority w:val="34"/>
    <w:qFormat/>
    <w:pPr>
      <w:spacing w:line="400" w:lineRule="exact"/>
      <w:ind w:firstLine="420"/>
    </w:pPr>
    <w:rPr>
      <w:rFonts w:ascii="微软雅黑" w:eastAsia="微软雅黑" w:hAnsi="微软雅黑" w:cs="Times New Roman"/>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libri Light" w:eastAsia="宋体" w:hAnsi="Calibri Light"/>
      <w:color w:val="2E74B5"/>
      <w:kern w:val="0"/>
      <w:sz w:val="28"/>
      <w:szCs w:val="28"/>
    </w:rPr>
  </w:style>
  <w:style w:type="paragraph" w:customStyle="1" w:styleId="13">
    <w:name w:val="无间隔1"/>
    <w:link w:val="Char7"/>
    <w:uiPriority w:val="1"/>
    <w:qFormat/>
    <w:rPr>
      <w:rFonts w:ascii="Calibri" w:eastAsia="宋体" w:hAnsi="Calibri" w:cs="Times New Roman"/>
      <w:sz w:val="22"/>
      <w:szCs w:val="22"/>
    </w:rPr>
  </w:style>
  <w:style w:type="character" w:customStyle="1" w:styleId="Char7">
    <w:name w:val="无间隔 Char"/>
    <w:basedOn w:val="a0"/>
    <w:link w:val="13"/>
    <w:uiPriority w:val="1"/>
    <w:qFormat/>
    <w:rPr>
      <w:rFonts w:ascii="Calibri" w:eastAsia="宋体" w:hAnsi="Calibri" w:cs="Times New Roman"/>
      <w:kern w:val="0"/>
      <w:sz w:val="22"/>
    </w:rPr>
  </w:style>
  <w:style w:type="paragraph" w:customStyle="1" w:styleId="TOC11">
    <w:name w:val="TOC 标题11"/>
    <w:basedOn w:val="1"/>
    <w:next w:val="a"/>
    <w:uiPriority w:val="39"/>
    <w:unhideWhenUsed/>
    <w:qFormat/>
    <w:pPr>
      <w:widowControl/>
      <w:spacing w:before="480" w:after="0" w:line="276" w:lineRule="auto"/>
      <w:jc w:val="left"/>
      <w:outlineLvl w:val="9"/>
    </w:pPr>
    <w:rPr>
      <w:rFonts w:ascii="Calibri Light" w:eastAsia="宋体" w:hAnsi="Calibri Light"/>
      <w:color w:val="2E74B5"/>
      <w:kern w:val="0"/>
      <w:sz w:val="28"/>
      <w:szCs w:val="28"/>
    </w:rPr>
  </w:style>
  <w:style w:type="paragraph" w:customStyle="1" w:styleId="110">
    <w:name w:val="无间隔11"/>
    <w:uiPriority w:val="1"/>
    <w:qFormat/>
    <w:rPr>
      <w:rFonts w:ascii="Calibri" w:eastAsia="宋体" w:hAnsi="Calibri" w:cs="Times New Roman"/>
      <w:sz w:val="22"/>
      <w:szCs w:val="22"/>
    </w:rPr>
  </w:style>
  <w:style w:type="character" w:customStyle="1" w:styleId="410">
    <w:name w:val="标题 4 字符1"/>
    <w:basedOn w:val="a0"/>
    <w:uiPriority w:val="9"/>
    <w:semiHidden/>
    <w:qFormat/>
    <w:rPr>
      <w:rFonts w:asciiTheme="majorHAnsi" w:eastAsiaTheme="majorEastAsia" w:hAnsiTheme="majorHAnsi" w:cstheme="majorBidi"/>
      <w:b/>
      <w:bCs/>
      <w:sz w:val="28"/>
      <w:szCs w:val="28"/>
    </w:rPr>
  </w:style>
  <w:style w:type="character" w:customStyle="1" w:styleId="14">
    <w:name w:val="标题 字符1"/>
    <w:basedOn w:val="a0"/>
    <w:uiPriority w:val="10"/>
    <w:qFormat/>
    <w:rPr>
      <w:rFonts w:asciiTheme="majorHAnsi" w:eastAsiaTheme="majorEastAsia" w:hAnsiTheme="majorHAnsi" w:cstheme="majorBidi"/>
      <w:b/>
      <w:bCs/>
      <w:sz w:val="32"/>
      <w:szCs w:val="32"/>
    </w:rPr>
  </w:style>
  <w:style w:type="paragraph" w:customStyle="1" w:styleId="71">
    <w:name w:val="目录 71"/>
    <w:basedOn w:val="a"/>
    <w:next w:val="a"/>
    <w:uiPriority w:val="39"/>
    <w:unhideWhenUsed/>
    <w:pPr>
      <w:ind w:left="1260"/>
      <w:jc w:val="left"/>
    </w:pPr>
    <w:rPr>
      <w:rFonts w:eastAsia="等线"/>
      <w:sz w:val="18"/>
      <w:szCs w:val="18"/>
    </w:rPr>
  </w:style>
  <w:style w:type="paragraph" w:customStyle="1" w:styleId="51">
    <w:name w:val="目录 51"/>
    <w:basedOn w:val="a"/>
    <w:next w:val="a"/>
    <w:uiPriority w:val="39"/>
    <w:unhideWhenUsed/>
    <w:pPr>
      <w:ind w:left="840"/>
      <w:jc w:val="left"/>
    </w:pPr>
    <w:rPr>
      <w:rFonts w:eastAsia="等线"/>
      <w:sz w:val="18"/>
      <w:szCs w:val="18"/>
    </w:rPr>
  </w:style>
  <w:style w:type="paragraph" w:customStyle="1" w:styleId="81">
    <w:name w:val="目录 81"/>
    <w:basedOn w:val="a"/>
    <w:next w:val="a"/>
    <w:uiPriority w:val="39"/>
    <w:unhideWhenUsed/>
    <w:pPr>
      <w:ind w:left="1470"/>
      <w:jc w:val="left"/>
    </w:pPr>
    <w:rPr>
      <w:rFonts w:eastAsia="等线"/>
      <w:sz w:val="18"/>
      <w:szCs w:val="18"/>
    </w:rPr>
  </w:style>
  <w:style w:type="paragraph" w:customStyle="1" w:styleId="411">
    <w:name w:val="目录 41"/>
    <w:basedOn w:val="a"/>
    <w:next w:val="a"/>
    <w:uiPriority w:val="39"/>
    <w:unhideWhenUsed/>
    <w:pPr>
      <w:ind w:left="630"/>
      <w:jc w:val="left"/>
    </w:pPr>
    <w:rPr>
      <w:rFonts w:eastAsia="等线"/>
      <w:sz w:val="18"/>
      <w:szCs w:val="18"/>
    </w:rPr>
  </w:style>
  <w:style w:type="paragraph" w:customStyle="1" w:styleId="61">
    <w:name w:val="目录 61"/>
    <w:basedOn w:val="a"/>
    <w:next w:val="a"/>
    <w:uiPriority w:val="39"/>
    <w:unhideWhenUsed/>
    <w:pPr>
      <w:ind w:left="1050"/>
      <w:jc w:val="left"/>
    </w:pPr>
    <w:rPr>
      <w:rFonts w:eastAsia="等线"/>
      <w:sz w:val="18"/>
      <w:szCs w:val="18"/>
    </w:rPr>
  </w:style>
  <w:style w:type="paragraph" w:customStyle="1" w:styleId="91">
    <w:name w:val="目录 91"/>
    <w:basedOn w:val="a"/>
    <w:next w:val="a"/>
    <w:uiPriority w:val="39"/>
    <w:unhideWhenUsed/>
    <w:pPr>
      <w:ind w:left="1680"/>
      <w:jc w:val="left"/>
    </w:pPr>
    <w:rPr>
      <w:rFonts w:eastAsia="等线"/>
      <w:sz w:val="18"/>
      <w:szCs w:val="18"/>
    </w:rPr>
  </w:style>
  <w:style w:type="table" w:customStyle="1" w:styleId="15">
    <w:name w:val="网格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
    <w:basedOn w:val="a"/>
    <w:uiPriority w:val="34"/>
    <w:qFormat/>
    <w:pPr>
      <w:ind w:firstLineChars="200" w:firstLine="420"/>
    </w:pPr>
  </w:style>
  <w:style w:type="paragraph" w:customStyle="1" w:styleId="16">
    <w:name w:val="目录标题1"/>
    <w:basedOn w:val="1"/>
    <w:next w:val="a"/>
    <w:uiPriority w:val="39"/>
    <w:unhideWhenUsed/>
    <w:qFormat/>
    <w:pPr>
      <w:widowControl/>
      <w:spacing w:before="480" w:after="0" w:line="276" w:lineRule="auto"/>
      <w:jc w:val="left"/>
      <w:outlineLvl w:val="9"/>
    </w:pPr>
    <w:rPr>
      <w:rFonts w:ascii="等线 Light" w:eastAsia="等线 Light" w:hAnsi="等线 Light"/>
      <w:b w:val="0"/>
      <w:color w:val="2E74B5"/>
      <w:kern w:val="0"/>
      <w:sz w:val="28"/>
      <w:szCs w:val="28"/>
    </w:rPr>
  </w:style>
  <w:style w:type="table" w:customStyle="1" w:styleId="-11">
    <w:name w:val="浅色底纹 - 着色 11"/>
    <w:basedOn w:val="a1"/>
    <w:uiPriority w:val="60"/>
    <w:qFormat/>
    <w:rPr>
      <w:color w:val="365F91"/>
    </w:rPr>
    <w:tblPr>
      <w:tblBorders>
        <w:top w:val="single" w:sz="8" w:space="0" w:color="4F81BD"/>
        <w:bottom w:val="single" w:sz="8" w:space="0" w:color="4F81BD"/>
      </w:tblBorders>
    </w:tblPr>
    <w:tcPr>
      <w:shd w:val="clear" w:color="auto" w:fill="B8CCE4"/>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shd w:val="clear" w:color="auto" w:fill="FFFFFF"/>
      </w:tcPr>
    </w:tblStylePr>
  </w:style>
  <w:style w:type="table" w:customStyle="1" w:styleId="21">
    <w:name w:val="网格型2"/>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列出段落2"/>
    <w:basedOn w:val="a"/>
    <w:uiPriority w:val="34"/>
    <w:qFormat/>
    <w:pPr>
      <w:ind w:firstLineChars="200" w:firstLine="420"/>
    </w:pPr>
    <w:rPr>
      <w:sz w:val="24"/>
      <w:szCs w:val="24"/>
    </w:rPr>
  </w:style>
  <w:style w:type="table" w:customStyle="1" w:styleId="1-11">
    <w:name w:val="中等深浅底纹 1 - 强调文字颜色 11"/>
    <w:basedOn w:val="a1"/>
    <w:uiPriority w:val="63"/>
    <w:rPr>
      <w:rFonts w:ascii="Calibri" w:eastAsia="Times New Roman" w:hAnsi="Calibri" w:cs="Times New Roman"/>
      <w:kern w:val="2"/>
      <w:sz w:val="21"/>
      <w:szCs w:val="22"/>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7">
    <w:name w:val="样式1"/>
    <w:basedOn w:val="a1"/>
    <w:uiPriority w:val="99"/>
    <w:rPr>
      <w:kern w:val="2"/>
      <w:sz w:val="21"/>
      <w:szCs w:val="22"/>
    </w:rPr>
    <w:tblPr>
      <w:tblBorders>
        <w:top w:val="single" w:sz="12" w:space="0" w:color="auto"/>
        <w:bottom w:val="single" w:sz="12" w:space="0" w:color="auto"/>
      </w:tblBorders>
    </w:tblPr>
    <w:tblStylePr w:type="band1Horz">
      <w:tblPr/>
      <w:tcPr>
        <w:shd w:val="clear" w:color="auto" w:fill="E36C0A"/>
      </w:tcPr>
    </w:tblStylePr>
  </w:style>
  <w:style w:type="table" w:customStyle="1" w:styleId="23">
    <w:name w:val="样式2"/>
    <w:basedOn w:val="a1"/>
    <w:uiPriority w:val="99"/>
    <w:rPr>
      <w:kern w:val="2"/>
      <w:sz w:val="21"/>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shd w:val="clear" w:color="auto" w:fill="E36C0A"/>
      </w:tcPr>
    </w:tblStylePr>
  </w:style>
  <w:style w:type="table" w:customStyle="1" w:styleId="31">
    <w:name w:val="样式3"/>
    <w:basedOn w:val="a1"/>
    <w:uiPriority w:val="99"/>
    <w:rPr>
      <w:kern w:val="2"/>
      <w:sz w:val="21"/>
      <w:szCs w:val="22"/>
    </w:rPr>
    <w:tblPr>
      <w:tblBorders>
        <w:top w:val="single" w:sz="4" w:space="0" w:color="auto"/>
        <w:bottom w:val="single" w:sz="4" w:space="0" w:color="auto"/>
      </w:tblBorders>
    </w:tblPr>
    <w:tblStylePr w:type="firstRow">
      <w:tblPr/>
      <w:tcPr>
        <w:tcBorders>
          <w:top w:val="nil"/>
          <w:bottom w:val="nil"/>
          <w:insideH w:val="nil"/>
          <w:insideV w:val="nil"/>
        </w:tcBorders>
        <w:shd w:val="clear" w:color="auto" w:fill="E36C0A"/>
      </w:tcPr>
    </w:tblStylePr>
  </w:style>
  <w:style w:type="table" w:customStyle="1" w:styleId="40">
    <w:name w:val="样式4"/>
    <w:basedOn w:val="a1"/>
    <w:uiPriority w:val="99"/>
    <w:rPr>
      <w:kern w:val="2"/>
      <w:sz w:val="21"/>
      <w:szCs w:val="22"/>
    </w:rPr>
    <w:tblPr>
      <w:tblBorders>
        <w:top w:val="single" w:sz="12" w:space="0" w:color="auto"/>
        <w:bottom w:val="single" w:sz="4" w:space="0" w:color="auto"/>
      </w:tblBorders>
    </w:tblPr>
    <w:tblStylePr w:type="band1Horz">
      <w:tblPr/>
      <w:tcPr>
        <w:tcBorders>
          <w:top w:val="nil"/>
          <w:bottom w:val="nil"/>
        </w:tcBorders>
        <w:shd w:val="clear" w:color="auto" w:fill="A6A6A6"/>
      </w:tcPr>
    </w:tblStylePr>
  </w:style>
  <w:style w:type="table" w:customStyle="1" w:styleId="18">
    <w:name w:val="网格型浅色1"/>
    <w:basedOn w:val="a1"/>
    <w:uiPriority w:val="40"/>
    <w:rPr>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1">
    <w:name w:val="中等深浅底纹 1 - 强调文字颜色 111"/>
    <w:basedOn w:val="a1"/>
    <w:uiPriority w:val="63"/>
    <w:rPr>
      <w:rFonts w:ascii="Calibri" w:eastAsia="Times New Roman" w:hAnsi="Calibri" w:cs="Times New Roman"/>
      <w:kern w:val="2"/>
      <w:sz w:val="21"/>
      <w:szCs w:val="22"/>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OC2">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3">
    <w:name w:val="List Paragraph"/>
    <w:basedOn w:val="a"/>
    <w:uiPriority w:val="34"/>
    <w:qFormat/>
    <w:rsid w:val="00C917D8"/>
    <w:pPr>
      <w:ind w:firstLineChars="200" w:firstLine="4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5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A5B27-B5FB-4F4D-9C44-8F6F6BE8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1172</Words>
  <Characters>6685</Characters>
  <Application>Microsoft Office Word</Application>
  <DocSecurity>0</DocSecurity>
  <Lines>55</Lines>
  <Paragraphs>15</Paragraphs>
  <ScaleCrop>false</ScaleCrop>
  <Company>Sky123.Org</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Always巴乔</dc:creator>
  <cp:lastModifiedBy>田志伟</cp:lastModifiedBy>
  <cp:revision>13</cp:revision>
  <dcterms:created xsi:type="dcterms:W3CDTF">2018-01-27T13:06:00Z</dcterms:created>
  <dcterms:modified xsi:type="dcterms:W3CDTF">2018-01-30T12:21:00Z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