
<file path=[Content_Types].xml><?xml version="1.0" encoding="utf-8"?>
<Types xmlns="http://schemas.openxmlformats.org/package/2006/content-types">
  <Default Extension="xml" ContentType="application/xml"/>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rPr>
          <w:rFonts w:ascii="Times New Roman" w:hAnsi="Times New Roman" w:eastAsia="楷体" w:cs="Times New Roman"/>
          <w:b/>
          <w:color w:val="002060"/>
          <w:sz w:val="48"/>
          <w:szCs w:val="48"/>
        </w:rPr>
      </w:pPr>
      <w:r>
        <w:rPr>
          <w:rFonts w:ascii="Times New Roman" w:hAnsi="Times New Roman" w:eastAsia="楷体" w:cs="Times New Roman"/>
          <w:b/>
          <w:color w:val="002060"/>
          <w:sz w:val="44"/>
          <w:szCs w:val="44"/>
        </w:rPr>
        <w:t>客观、专业、洞察</w:t>
      </w:r>
    </w:p>
    <w:p>
      <w:pPr>
        <w:spacing w:line="360" w:lineRule="atLeast"/>
        <w:rPr>
          <w:rFonts w:ascii="Times New Roman" w:hAnsi="Times New Roman" w:eastAsia="楷体" w:cs="Times New Roman"/>
          <w:b/>
          <w:sz w:val="48"/>
          <w:szCs w:val="48"/>
        </w:rPr>
      </w:pPr>
    </w:p>
    <w:p>
      <w:pPr>
        <w:spacing w:line="360" w:lineRule="atLeast"/>
        <w:jc w:val="center"/>
        <w:rPr>
          <w:rFonts w:ascii="Times New Roman" w:hAnsi="Times New Roman" w:eastAsia="楷体" w:cs="Times New Roman"/>
          <w:b/>
          <w:color w:val="002060"/>
          <w:sz w:val="72"/>
          <w:szCs w:val="72"/>
        </w:rPr>
      </w:pPr>
      <w:r>
        <w:rPr>
          <w:rFonts w:ascii="Times New Roman" w:hAnsi="Times New Roman" w:eastAsia="楷体" w:cs="Times New Roman"/>
          <w:b/>
          <w:color w:val="002060"/>
          <w:sz w:val="72"/>
          <w:szCs w:val="72"/>
        </w:rPr>
        <w:t>月  刊</w:t>
      </w:r>
    </w:p>
    <w:p>
      <w:pPr>
        <w:jc w:val="center"/>
        <w:rPr>
          <w:rFonts w:ascii="Times New Roman" w:hAnsi="Times New Roman" w:eastAsia="楷体" w:cs="Times New Roman"/>
          <w:b/>
          <w:color w:val="002060"/>
          <w:sz w:val="30"/>
          <w:szCs w:val="30"/>
        </w:rPr>
      </w:pPr>
    </w:p>
    <w:p>
      <w:pPr>
        <w:spacing w:line="360" w:lineRule="atLeast"/>
        <w:jc w:val="center"/>
        <w:rPr>
          <w:rFonts w:ascii="楷体" w:hAnsi="楷体" w:eastAsia="楷体" w:cs="Times New Roman"/>
          <w:b/>
          <w:color w:val="002060"/>
          <w:sz w:val="72"/>
          <w:szCs w:val="72"/>
        </w:rPr>
      </w:pPr>
      <w:r>
        <w:rPr>
          <w:rFonts w:ascii="楷体" w:hAnsi="楷体" w:eastAsia="楷体" w:cs="Times New Roman"/>
          <w:b/>
          <w:color w:val="002060"/>
          <w:sz w:val="72"/>
          <w:szCs w:val="72"/>
        </w:rPr>
        <w:t>OECD税收政策和管理动态</w:t>
      </w:r>
    </w:p>
    <w:p>
      <w:pPr>
        <w:spacing w:line="360" w:lineRule="atLeast"/>
        <w:jc w:val="center"/>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6"/>
          <w:szCs w:val="36"/>
        </w:rPr>
      </w:pPr>
    </w:p>
    <w:p>
      <w:pPr>
        <w:spacing w:line="360" w:lineRule="atLeast"/>
        <w:jc w:val="center"/>
        <w:rPr>
          <w:rFonts w:ascii="楷体" w:hAnsi="楷体" w:eastAsia="楷体" w:cs="Times New Roman"/>
          <w:b/>
          <w:color w:val="002060"/>
          <w:sz w:val="36"/>
          <w:szCs w:val="36"/>
        </w:rPr>
      </w:pPr>
      <w:r>
        <w:rPr>
          <w:rFonts w:ascii="楷体" w:hAnsi="楷体" w:eastAsia="楷体" w:cs="Times New Roman"/>
          <w:b/>
          <w:color w:val="002060"/>
          <w:sz w:val="36"/>
          <w:szCs w:val="36"/>
        </w:rPr>
        <w:t>上海财经大学公共政策与治理研究院</w:t>
      </w:r>
    </w:p>
    <w:p>
      <w:pPr>
        <w:spacing w:line="360" w:lineRule="atLeast"/>
        <w:jc w:val="center"/>
        <w:rPr>
          <w:rFonts w:ascii="楷体" w:hAnsi="楷体" w:eastAsia="楷体" w:cs="Times New Roman"/>
          <w:b/>
          <w:color w:val="002060"/>
          <w:sz w:val="30"/>
          <w:szCs w:val="30"/>
        </w:rPr>
      </w:pPr>
      <w:r>
        <w:rPr>
          <w:rFonts w:ascii="楷体" w:hAnsi="楷体" w:eastAsia="楷体" w:cs="Times New Roman"/>
          <w:b/>
          <w:color w:val="002060"/>
          <w:sz w:val="30"/>
          <w:szCs w:val="30"/>
        </w:rPr>
        <w:t>2018年第</w:t>
      </w:r>
      <w:r>
        <w:rPr>
          <w:rFonts w:hint="eastAsia" w:ascii="楷体" w:hAnsi="楷体" w:eastAsia="楷体" w:cs="Times New Roman"/>
          <w:b/>
          <w:color w:val="002060"/>
          <w:sz w:val="30"/>
          <w:szCs w:val="30"/>
          <w:lang w:val="en-US" w:eastAsia="zh-CN"/>
        </w:rPr>
        <w:t>2</w:t>
      </w:r>
      <w:bookmarkStart w:id="13" w:name="_GoBack"/>
      <w:bookmarkEnd w:id="13"/>
      <w:r>
        <w:rPr>
          <w:rFonts w:ascii="楷体" w:hAnsi="楷体" w:eastAsia="楷体" w:cs="Times New Roman"/>
          <w:b/>
          <w:color w:val="002060"/>
          <w:sz w:val="30"/>
          <w:szCs w:val="30"/>
        </w:rPr>
        <w:t>期</w:t>
      </w:r>
    </w:p>
    <w:p>
      <w:pPr>
        <w:spacing w:line="360" w:lineRule="atLeast"/>
        <w:jc w:val="center"/>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0"/>
          <w:szCs w:val="30"/>
        </w:rPr>
      </w:pPr>
      <w:r>
        <w:rPr>
          <w:rFonts w:ascii="楷体" w:hAnsi="楷体" w:eastAsia="楷体" w:cs="Times New Roman"/>
          <w:b/>
          <w:color w:val="002060"/>
          <w:sz w:val="30"/>
          <w:szCs w:val="30"/>
        </w:rPr>
        <w:drawing>
          <wp:inline distT="0" distB="0" distL="0" distR="0">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pPr>
        <w:spacing w:line="360" w:lineRule="atLeast"/>
        <w:jc w:val="center"/>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0"/>
          <w:szCs w:val="30"/>
        </w:rPr>
      </w:pPr>
    </w:p>
    <w:p>
      <w:pPr>
        <w:spacing w:line="360" w:lineRule="atLeast"/>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0"/>
          <w:szCs w:val="30"/>
        </w:rPr>
      </w:pPr>
    </w:p>
    <w:p>
      <w:pPr>
        <w:spacing w:line="360" w:lineRule="atLeast"/>
        <w:jc w:val="center"/>
        <w:rPr>
          <w:rFonts w:ascii="楷体" w:hAnsi="楷体" w:eastAsia="楷体" w:cs="Times New Roman"/>
          <w:b/>
          <w:color w:val="002060"/>
          <w:sz w:val="36"/>
          <w:szCs w:val="36"/>
        </w:rPr>
      </w:pPr>
      <w:r>
        <w:rPr>
          <w:rFonts w:ascii="楷体" w:hAnsi="楷体" w:eastAsia="楷体" w:cs="Times New Roman"/>
          <w:b/>
          <w:color w:val="002060"/>
          <w:sz w:val="36"/>
          <w:szCs w:val="36"/>
        </w:rPr>
        <w:t>2018.</w:t>
      </w:r>
      <w:r>
        <w:rPr>
          <w:rFonts w:hint="eastAsia" w:ascii="楷体" w:hAnsi="楷体" w:eastAsia="楷体" w:cs="Times New Roman"/>
          <w:b/>
          <w:color w:val="002060"/>
          <w:sz w:val="36"/>
          <w:szCs w:val="36"/>
        </w:rPr>
        <w:t>3</w:t>
      </w:r>
      <w:r>
        <w:rPr>
          <w:rFonts w:ascii="楷体" w:hAnsi="楷体" w:eastAsia="楷体" w:cs="Times New Roman"/>
          <w:b/>
          <w:color w:val="002060"/>
          <w:sz w:val="36"/>
          <w:szCs w:val="36"/>
        </w:rPr>
        <w:t>.</w:t>
      </w:r>
      <w:r>
        <w:rPr>
          <w:rFonts w:hint="eastAsia" w:ascii="楷体" w:hAnsi="楷体" w:eastAsia="楷体" w:cs="Times New Roman"/>
          <w:b/>
          <w:color w:val="002060"/>
          <w:sz w:val="36"/>
          <w:szCs w:val="36"/>
        </w:rPr>
        <w:t>15</w:t>
      </w:r>
    </w:p>
    <w:p>
      <w:pPr>
        <w:rPr>
          <w:rFonts w:ascii="Times New Roman" w:hAnsi="Times New Roman" w:eastAsia="楷体" w:cs="Times New Roman"/>
          <w:b/>
          <w:color w:val="002060"/>
          <w:sz w:val="36"/>
          <w:szCs w:val="36"/>
        </w:rPr>
      </w:pPr>
    </w:p>
    <w:p>
      <w:pPr>
        <w:spacing w:line="360" w:lineRule="atLeast"/>
        <w:rPr>
          <w:rFonts w:ascii="Times New Roman" w:hAnsi="Times New Roman" w:eastAsia="楷体" w:cs="Times New Roman"/>
          <w:b/>
          <w:color w:val="002060"/>
          <w:sz w:val="36"/>
          <w:szCs w:val="36"/>
        </w:rPr>
      </w:pPr>
    </w:p>
    <w:p>
      <w:pPr>
        <w:spacing w:line="360" w:lineRule="atLeast"/>
        <w:rPr>
          <w:rFonts w:ascii="楷体" w:hAnsi="楷体" w:eastAsia="楷体" w:cs="Times New Roman"/>
          <w:b/>
          <w:color w:val="002060"/>
          <w:sz w:val="36"/>
          <w:szCs w:val="36"/>
        </w:rPr>
      </w:pPr>
      <w:r>
        <w:rPr>
          <w:rFonts w:ascii="楷体" w:hAnsi="楷体" w:eastAsia="楷体" w:cs="Times New Roman"/>
          <w:b/>
          <w:color w:val="002060"/>
          <w:sz w:val="36"/>
          <w:szCs w:val="36"/>
        </w:rPr>
        <w:t>版权说明：</w:t>
      </w:r>
    </w:p>
    <w:p>
      <w:pPr>
        <w:spacing w:line="360" w:lineRule="atLeast"/>
        <w:rPr>
          <w:rFonts w:ascii="楷体" w:hAnsi="楷体" w:eastAsia="楷体" w:cs="Times New Roman"/>
          <w:b/>
          <w:color w:val="002060"/>
          <w:sz w:val="28"/>
          <w:szCs w:val="28"/>
        </w:rPr>
      </w:pPr>
    </w:p>
    <w:p>
      <w:pPr>
        <w:spacing w:line="360" w:lineRule="atLeast"/>
        <w:rPr>
          <w:rFonts w:ascii="楷体" w:hAnsi="楷体" w:eastAsia="楷体" w:cs="Times New Roman"/>
          <w:b/>
          <w:color w:val="002060"/>
          <w:sz w:val="36"/>
          <w:szCs w:val="36"/>
        </w:rPr>
      </w:pPr>
    </w:p>
    <w:p>
      <w:pPr>
        <w:spacing w:line="360" w:lineRule="atLeast"/>
        <w:ind w:firstLine="705"/>
        <w:rPr>
          <w:rFonts w:ascii="楷体" w:hAnsi="楷体" w:eastAsia="楷体" w:cs="Times New Roman"/>
          <w:b/>
          <w:color w:val="002060"/>
          <w:sz w:val="28"/>
          <w:szCs w:val="28"/>
        </w:rPr>
      </w:pPr>
      <w:r>
        <w:rPr>
          <w:rFonts w:ascii="楷体" w:hAnsi="楷体" w:eastAsia="楷体" w:cs="Times New Roman"/>
          <w:b/>
          <w:color w:val="002060"/>
          <w:sz w:val="28"/>
          <w:szCs w:val="28"/>
        </w:rPr>
        <w:t>《OECD税收政策和管理动态》月刊由上海财经大学公共政策与治理研究院制作。《OECD税收政策和管理动态》每月1期，专业提供OECD有关税收政策、税务管理动态。</w:t>
      </w:r>
    </w:p>
    <w:p>
      <w:pPr>
        <w:spacing w:line="360" w:lineRule="atLeast"/>
        <w:rPr>
          <w:rFonts w:ascii="楷体" w:hAnsi="楷体" w:eastAsia="楷体" w:cs="Times New Roman"/>
          <w:b/>
          <w:color w:val="002060"/>
          <w:sz w:val="28"/>
          <w:szCs w:val="28"/>
        </w:rPr>
      </w:pPr>
    </w:p>
    <w:p>
      <w:pPr>
        <w:spacing w:line="360" w:lineRule="atLeast"/>
        <w:rPr>
          <w:rFonts w:ascii="楷体" w:hAnsi="楷体" w:eastAsia="楷体" w:cs="Times New Roman"/>
          <w:b/>
          <w:color w:val="002060"/>
          <w:sz w:val="36"/>
          <w:szCs w:val="36"/>
        </w:rPr>
      </w:pPr>
    </w:p>
    <w:p>
      <w:pPr>
        <w:spacing w:line="360" w:lineRule="atLeast"/>
        <w:rPr>
          <w:rFonts w:ascii="楷体" w:hAnsi="楷体" w:eastAsia="楷体" w:cs="Times New Roman"/>
          <w:b/>
          <w:color w:val="002060"/>
          <w:sz w:val="36"/>
          <w:szCs w:val="36"/>
        </w:rPr>
      </w:pPr>
    </w:p>
    <w:p>
      <w:pPr>
        <w:spacing w:line="360" w:lineRule="atLeast"/>
        <w:rPr>
          <w:rFonts w:ascii="楷体" w:hAnsi="楷体" w:eastAsia="楷体" w:cs="Times New Roman"/>
          <w:b/>
          <w:color w:val="002060"/>
          <w:sz w:val="36"/>
          <w:szCs w:val="36"/>
        </w:rPr>
      </w:pPr>
    </w:p>
    <w:p>
      <w:pPr>
        <w:spacing w:line="360" w:lineRule="atLeast"/>
        <w:rPr>
          <w:rFonts w:ascii="楷体" w:hAnsi="楷体" w:eastAsia="楷体" w:cs="Times New Roman"/>
          <w:b/>
          <w:color w:val="002060"/>
          <w:sz w:val="36"/>
          <w:szCs w:val="36"/>
        </w:rPr>
      </w:pPr>
    </w:p>
    <w:p>
      <w:pPr>
        <w:spacing w:line="360" w:lineRule="atLeast"/>
        <w:rPr>
          <w:rFonts w:ascii="楷体" w:hAnsi="楷体" w:eastAsia="楷体" w:cs="Times New Roman"/>
          <w:b/>
          <w:color w:val="002060"/>
          <w:sz w:val="36"/>
          <w:szCs w:val="36"/>
        </w:rPr>
      </w:pPr>
    </w:p>
    <w:p>
      <w:pPr>
        <w:spacing w:line="360" w:lineRule="atLeast"/>
        <w:rPr>
          <w:rFonts w:ascii="楷体" w:hAnsi="楷体" w:eastAsia="楷体" w:cs="Times New Roman"/>
          <w:b/>
          <w:color w:val="002060"/>
          <w:sz w:val="36"/>
          <w:szCs w:val="36"/>
        </w:rPr>
      </w:pPr>
    </w:p>
    <w:p>
      <w:pPr>
        <w:pStyle w:val="15"/>
        <w:spacing w:line="360" w:lineRule="atLeast"/>
        <w:ind w:firstLine="3855" w:firstLineChars="1600"/>
        <w:rPr>
          <w:rFonts w:ascii="楷体" w:hAnsi="楷体" w:eastAsia="楷体"/>
          <w:b/>
          <w:color w:val="002060"/>
        </w:rPr>
      </w:pPr>
      <w:r>
        <w:rPr>
          <w:rFonts w:ascii="楷体" w:hAnsi="楷体" w:eastAsia="楷体"/>
          <w:b/>
          <w:color w:val="002060"/>
        </w:rPr>
        <w:t>OECD税收政策和管理动态工作团队：</w:t>
      </w:r>
    </w:p>
    <w:p>
      <w:pPr>
        <w:pStyle w:val="15"/>
        <w:spacing w:line="360" w:lineRule="atLeast"/>
        <w:ind w:firstLine="3855" w:firstLineChars="1600"/>
        <w:rPr>
          <w:rFonts w:ascii="楷体" w:hAnsi="楷体" w:eastAsia="楷体"/>
          <w:b/>
          <w:color w:val="002060"/>
        </w:rPr>
      </w:pPr>
      <w:r>
        <w:rPr>
          <w:rFonts w:ascii="楷体" w:hAnsi="楷体" w:eastAsia="楷体"/>
          <w:b/>
          <w:color w:val="002060"/>
        </w:rPr>
        <w:t xml:space="preserve">负责：田志伟 李兰君 </w:t>
      </w:r>
      <w:r>
        <w:rPr>
          <w:rFonts w:hint="eastAsia" w:ascii="楷体" w:hAnsi="楷体" w:eastAsia="楷体"/>
          <w:b/>
          <w:color w:val="002060"/>
        </w:rPr>
        <w:t>蔡春光</w:t>
      </w:r>
    </w:p>
    <w:p>
      <w:pPr>
        <w:pStyle w:val="15"/>
        <w:spacing w:line="360" w:lineRule="atLeast"/>
        <w:ind w:firstLine="3855" w:firstLineChars="1600"/>
        <w:rPr>
          <w:rFonts w:ascii="楷体" w:hAnsi="楷体" w:eastAsia="楷体"/>
          <w:b/>
          <w:color w:val="002060"/>
        </w:rPr>
      </w:pPr>
      <w:r>
        <w:rPr>
          <w:rFonts w:ascii="楷体" w:hAnsi="楷体" w:eastAsia="楷体"/>
          <w:b/>
          <w:color w:val="002060"/>
        </w:rPr>
        <w:t>参与：陈天媛</w:t>
      </w:r>
      <w:r>
        <w:rPr>
          <w:rFonts w:hint="eastAsia" w:ascii="楷体" w:hAnsi="楷体" w:eastAsia="楷体"/>
          <w:b/>
          <w:color w:val="002060"/>
        </w:rPr>
        <w:t xml:space="preserve"> 胡婷元 雷智驭</w:t>
      </w:r>
    </w:p>
    <w:p>
      <w:pPr>
        <w:pStyle w:val="15"/>
        <w:spacing w:line="360" w:lineRule="atLeast"/>
        <w:ind w:firstLine="4578" w:firstLineChars="1900"/>
        <w:rPr>
          <w:rFonts w:ascii="楷体" w:hAnsi="楷体" w:eastAsia="楷体"/>
          <w:b/>
          <w:color w:val="002060"/>
        </w:rPr>
      </w:pPr>
      <w:r>
        <w:rPr>
          <w:rFonts w:hint="eastAsia" w:ascii="楷体" w:hAnsi="楷体" w:eastAsia="楷体"/>
          <w:b/>
          <w:color w:val="002060"/>
        </w:rPr>
        <w:t xml:space="preserve">史  良 </w:t>
      </w:r>
      <w:r>
        <w:rPr>
          <w:rFonts w:ascii="楷体" w:hAnsi="楷体" w:eastAsia="楷体"/>
          <w:b/>
          <w:color w:val="002060"/>
        </w:rPr>
        <w:t>周</w:t>
      </w:r>
      <w:r>
        <w:rPr>
          <w:rFonts w:hint="eastAsia" w:ascii="楷体" w:hAnsi="楷体" w:eastAsia="楷体"/>
          <w:b/>
          <w:color w:val="002060"/>
        </w:rPr>
        <w:t xml:space="preserve">  </w:t>
      </w:r>
      <w:r>
        <w:rPr>
          <w:rFonts w:ascii="楷体" w:hAnsi="楷体" w:eastAsia="楷体"/>
          <w:b/>
          <w:color w:val="002060"/>
        </w:rPr>
        <w:t>颖</w:t>
      </w:r>
      <w:r>
        <w:rPr>
          <w:rFonts w:hint="eastAsia" w:ascii="楷体" w:hAnsi="楷体" w:eastAsia="楷体"/>
          <w:b/>
          <w:color w:val="002060"/>
        </w:rPr>
        <w:t xml:space="preserve"> 贺  越</w:t>
      </w:r>
    </w:p>
    <w:p>
      <w:pPr>
        <w:pStyle w:val="15"/>
        <w:spacing w:line="360" w:lineRule="atLeast"/>
        <w:ind w:firstLine="4578" w:firstLineChars="1900"/>
        <w:rPr>
          <w:rFonts w:ascii="楷体" w:hAnsi="楷体" w:eastAsia="楷体"/>
          <w:b/>
          <w:color w:val="002060"/>
        </w:rPr>
      </w:pPr>
    </w:p>
    <w:p>
      <w:pPr>
        <w:pStyle w:val="15"/>
        <w:spacing w:line="360" w:lineRule="atLeast"/>
        <w:ind w:firstLine="3855" w:firstLineChars="1600"/>
        <w:rPr>
          <w:rFonts w:ascii="楷体" w:hAnsi="楷体" w:eastAsia="楷体"/>
          <w:b/>
          <w:color w:val="111111"/>
        </w:rPr>
      </w:pPr>
    </w:p>
    <w:p>
      <w:pPr>
        <w:pStyle w:val="15"/>
        <w:spacing w:line="360" w:lineRule="atLeast"/>
        <w:rPr>
          <w:rFonts w:ascii="楷体" w:hAnsi="楷体" w:eastAsia="楷体"/>
          <w:color w:val="111111"/>
        </w:rPr>
      </w:pPr>
    </w:p>
    <w:p>
      <w:pPr>
        <w:spacing w:line="360" w:lineRule="atLeast"/>
        <w:jc w:val="center"/>
        <w:rPr>
          <w:rFonts w:ascii="楷体" w:hAnsi="楷体" w:eastAsia="楷体" w:cs="Times New Roman"/>
          <w:b/>
          <w:color w:val="002060"/>
          <w:sz w:val="36"/>
          <w:szCs w:val="36"/>
        </w:rPr>
      </w:pPr>
    </w:p>
    <w:p>
      <w:pPr>
        <w:widowControl/>
        <w:jc w:val="left"/>
        <w:rPr>
          <w:rFonts w:ascii="楷体" w:hAnsi="楷体" w:eastAsia="楷体" w:cs="Times New Roman"/>
          <w:b/>
          <w:color w:val="002060"/>
          <w:sz w:val="36"/>
          <w:szCs w:val="36"/>
        </w:rPr>
      </w:pPr>
      <w:r>
        <w:rPr>
          <w:rFonts w:ascii="楷体" w:hAnsi="楷体" w:eastAsia="楷体" w:cs="Times New Roman"/>
          <w:b/>
          <w:color w:val="002060"/>
          <w:sz w:val="36"/>
          <w:szCs w:val="36"/>
        </w:rPr>
        <w:br w:type="page"/>
      </w:r>
    </w:p>
    <w:p>
      <w:pPr>
        <w:spacing w:line="360" w:lineRule="atLeast"/>
        <w:jc w:val="center"/>
        <w:rPr>
          <w:rFonts w:ascii="Times New Roman" w:hAnsi="Times New Roman" w:eastAsia="楷体" w:cs="Times New Roman"/>
          <w:b/>
          <w:color w:val="002060"/>
          <w:sz w:val="36"/>
          <w:szCs w:val="36"/>
        </w:rPr>
      </w:pPr>
    </w:p>
    <w:sdt>
      <w:sdtPr>
        <w:rPr>
          <w:rFonts w:ascii="Times New Roman" w:hAnsi="Times New Roman" w:cs="Times New Roman" w:eastAsiaTheme="minorEastAsia"/>
          <w:b w:val="0"/>
          <w:bCs w:val="0"/>
          <w:color w:val="auto"/>
          <w:kern w:val="2"/>
          <w:sz w:val="21"/>
          <w:szCs w:val="22"/>
          <w:lang w:val="zh-CN"/>
        </w:rPr>
        <w:id w:val="-869224865"/>
        <w:docPartObj>
          <w:docPartGallery w:val="Table of Contents"/>
          <w:docPartUnique/>
        </w:docPartObj>
      </w:sdtPr>
      <w:sdtEndPr>
        <w:rPr>
          <w:rFonts w:ascii="Times New Roman" w:hAnsi="Times New Roman" w:cs="Times New Roman" w:eastAsiaTheme="minorEastAsia"/>
          <w:b w:val="0"/>
          <w:bCs w:val="0"/>
          <w:color w:val="auto"/>
          <w:kern w:val="2"/>
          <w:sz w:val="24"/>
          <w:szCs w:val="24"/>
          <w:lang w:val="zh-CN"/>
        </w:rPr>
      </w:sdtEndPr>
      <w:sdtContent>
        <w:p>
          <w:pPr>
            <w:pStyle w:val="32"/>
            <w:jc w:val="center"/>
            <w:rPr>
              <w:rFonts w:ascii="Times New Roman" w:hAnsi="Times New Roman" w:cs="Times New Roman"/>
              <w:sz w:val="32"/>
              <w:szCs w:val="32"/>
            </w:rPr>
          </w:pPr>
          <w:r>
            <w:rPr>
              <w:rFonts w:ascii="Times New Roman" w:hAnsi="Times New Roman" w:cs="Times New Roman"/>
              <w:sz w:val="32"/>
              <w:szCs w:val="32"/>
              <w:lang w:val="zh-CN"/>
            </w:rPr>
            <w:t>目</w:t>
          </w:r>
          <w:r>
            <w:rPr>
              <w:rFonts w:ascii="Times New Roman" w:hAnsi="Times New Roman" w:cs="Times New Roman"/>
              <w:sz w:val="32"/>
              <w:szCs w:val="32"/>
            </w:rPr>
            <w:t xml:space="preserve">  </w:t>
          </w:r>
          <w:r>
            <w:rPr>
              <w:rFonts w:ascii="Times New Roman" w:hAnsi="Times New Roman" w:cs="Times New Roman"/>
              <w:sz w:val="32"/>
              <w:szCs w:val="32"/>
              <w:lang w:val="zh-CN"/>
            </w:rPr>
            <w:t>录</w:t>
          </w:r>
        </w:p>
        <w:p>
          <w:pPr>
            <w:rPr>
              <w:rFonts w:ascii="Times New Roman" w:hAnsi="Times New Roman" w:cs="Times New Roman"/>
            </w:rPr>
          </w:pPr>
        </w:p>
        <w:p>
          <w:pPr>
            <w:spacing w:line="360" w:lineRule="auto"/>
            <w:rPr>
              <w:rFonts w:ascii="Times New Roman" w:hAnsi="Times New Roman" w:cs="Times New Roman"/>
            </w:rPr>
          </w:pPr>
        </w:p>
        <w:p>
          <w:pPr>
            <w:pStyle w:val="12"/>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"_Toc508920507" </w:instrText>
          </w:r>
          <w:r>
            <w:fldChar w:fldCharType="separate"/>
          </w:r>
          <w:r>
            <w:rPr>
              <w:rStyle w:val="18"/>
              <w:rFonts w:ascii="Wingdings" w:hAnsi="Wingdings" w:eastAsia="宋体" w:cs="Times New Roman"/>
            </w:rPr>
            <w:t></w:t>
          </w:r>
          <w:r>
            <w:tab/>
          </w:r>
          <w:r>
            <w:rPr>
              <w:rStyle w:val="18"/>
              <w:rFonts w:hint="eastAsia" w:ascii="Times New Roman" w:hAnsi="Times New Roman" w:eastAsia="宋体" w:cs="Times New Roman"/>
            </w:rPr>
            <w:t>税基侵蚀与利润转移（</w:t>
          </w:r>
          <w:r>
            <w:rPr>
              <w:rStyle w:val="18"/>
              <w:rFonts w:ascii="Times New Roman" w:hAnsi="Times New Roman" w:eastAsia="宋体" w:cs="Times New Roman"/>
            </w:rPr>
            <w:t>BEPS</w:t>
          </w:r>
          <w:r>
            <w:rPr>
              <w:rStyle w:val="18"/>
              <w:rFonts w:hint="eastAsia" w:ascii="Times New Roman" w:hAnsi="Times New Roman" w:eastAsia="宋体" w:cs="Times New Roman"/>
            </w:rPr>
            <w:t>）栏目</w:t>
          </w:r>
          <w:r>
            <w:tab/>
          </w:r>
          <w:r>
            <w:fldChar w:fldCharType="begin"/>
          </w:r>
          <w:r>
            <w:instrText xml:space="preserve"> PAGEREF _Toc508920507 \h </w:instrText>
          </w:r>
          <w:r>
            <w:fldChar w:fldCharType="separate"/>
          </w:r>
          <w:r>
            <w:t>4</w:t>
          </w:r>
          <w:r>
            <w:fldChar w:fldCharType="end"/>
          </w:r>
          <w:r>
            <w:fldChar w:fldCharType="end"/>
          </w:r>
        </w:p>
        <w:p>
          <w:pPr>
            <w:pStyle w:val="14"/>
            <w:tabs>
              <w:tab w:val="right" w:leader="dot" w:pos="8296"/>
            </w:tabs>
          </w:pPr>
          <w:r>
            <w:fldChar w:fldCharType="begin"/>
          </w:r>
          <w:r>
            <w:instrText xml:space="preserve"> HYPERLINK \l "_Toc508920508" </w:instrText>
          </w:r>
          <w:r>
            <w:fldChar w:fldCharType="separate"/>
          </w:r>
          <w:r>
            <w:rPr>
              <w:rStyle w:val="18"/>
              <w:rFonts w:ascii="Times New Roman" w:hAnsi="Times New Roman" w:eastAsia="宋体" w:cs="Times New Roman"/>
              <w:b/>
              <w:kern w:val="0"/>
            </w:rPr>
            <w:t>1. OECD</w:t>
          </w:r>
          <w:r>
            <w:rPr>
              <w:rStyle w:val="18"/>
              <w:rFonts w:hint="eastAsia" w:ascii="Times New Roman" w:hAnsi="Times New Roman" w:eastAsia="宋体" w:cs="Times New Roman"/>
              <w:b/>
              <w:kern w:val="0"/>
            </w:rPr>
            <w:t>发布国别报告实施新指南及税收优惠</w:t>
          </w:r>
          <w:r>
            <w:tab/>
          </w:r>
          <w:r>
            <w:fldChar w:fldCharType="begin"/>
          </w:r>
          <w:r>
            <w:instrText xml:space="preserve"> PAGEREF _Toc508920508 \h </w:instrText>
          </w:r>
          <w:r>
            <w:fldChar w:fldCharType="separate"/>
          </w:r>
          <w:r>
            <w:t>4</w:t>
          </w:r>
          <w:r>
            <w:fldChar w:fldCharType="end"/>
          </w:r>
          <w:r>
            <w:fldChar w:fldCharType="end"/>
          </w:r>
        </w:p>
        <w:p>
          <w:pPr>
            <w:pStyle w:val="12"/>
          </w:pPr>
          <w:r>
            <w:fldChar w:fldCharType="begin"/>
          </w:r>
          <w:r>
            <w:instrText xml:space="preserve"> HYPERLINK \l "_Toc508920509" </w:instrText>
          </w:r>
          <w:r>
            <w:fldChar w:fldCharType="separate"/>
          </w:r>
          <w:r>
            <w:rPr>
              <w:rStyle w:val="18"/>
              <w:rFonts w:ascii="Wingdings" w:hAnsi="Wingdings" w:eastAsia="宋体" w:cs="Times New Roman"/>
            </w:rPr>
            <w:t></w:t>
          </w:r>
          <w:r>
            <w:tab/>
          </w:r>
          <w:r>
            <w:rPr>
              <w:rStyle w:val="18"/>
              <w:rFonts w:hint="eastAsia" w:ascii="Times New Roman" w:hAnsi="Times New Roman" w:eastAsia="宋体" w:cs="Times New Roman"/>
            </w:rPr>
            <w:t>信息交换栏目</w:t>
          </w:r>
          <w:r>
            <w:tab/>
          </w:r>
          <w:r>
            <w:fldChar w:fldCharType="begin"/>
          </w:r>
          <w:r>
            <w:instrText xml:space="preserve"> PAGEREF _Toc508920509 \h </w:instrText>
          </w:r>
          <w:r>
            <w:fldChar w:fldCharType="separate"/>
          </w:r>
          <w:r>
            <w:t>7</w:t>
          </w:r>
          <w:r>
            <w:fldChar w:fldCharType="end"/>
          </w:r>
          <w:r>
            <w:fldChar w:fldCharType="end"/>
          </w:r>
        </w:p>
        <w:p>
          <w:pPr>
            <w:pStyle w:val="14"/>
            <w:tabs>
              <w:tab w:val="right" w:leader="dot" w:pos="8296"/>
            </w:tabs>
          </w:pPr>
          <w:r>
            <w:fldChar w:fldCharType="begin"/>
          </w:r>
          <w:r>
            <w:instrText xml:space="preserve"> HYPERLINK \l "_Toc508920510" </w:instrText>
          </w:r>
          <w:r>
            <w:fldChar w:fldCharType="separate"/>
          </w:r>
          <w:r>
            <w:rPr>
              <w:rStyle w:val="18"/>
              <w:rFonts w:ascii="Times New Roman" w:hAnsi="Times New Roman" w:eastAsia="宋体" w:cs="Times New Roman"/>
              <w:b/>
              <w:kern w:val="0"/>
            </w:rPr>
            <w:t>2. OECD</w:t>
          </w:r>
          <w:r>
            <w:rPr>
              <w:rStyle w:val="18"/>
              <w:rFonts w:hint="eastAsia" w:ascii="Times New Roman" w:hAnsi="Times New Roman" w:eastAsia="宋体" w:cs="Times New Roman"/>
              <w:b/>
              <w:kern w:val="0"/>
            </w:rPr>
            <w:t>发布关于防止滥用投资移民计划规避</w:t>
          </w:r>
          <w:r>
            <w:rPr>
              <w:rStyle w:val="18"/>
              <w:rFonts w:ascii="Times New Roman" w:hAnsi="Times New Roman" w:eastAsia="宋体" w:cs="Times New Roman"/>
              <w:b/>
              <w:kern w:val="0"/>
            </w:rPr>
            <w:t>CRS</w:t>
          </w:r>
          <w:r>
            <w:rPr>
              <w:rStyle w:val="18"/>
              <w:rFonts w:hint="eastAsia" w:ascii="Times New Roman" w:hAnsi="Times New Roman" w:eastAsia="宋体" w:cs="Times New Roman"/>
              <w:b/>
              <w:kern w:val="0"/>
            </w:rPr>
            <w:t>信息交换的咨询文件</w:t>
          </w:r>
          <w:r>
            <w:tab/>
          </w:r>
          <w:r>
            <w:fldChar w:fldCharType="begin"/>
          </w:r>
          <w:r>
            <w:instrText xml:space="preserve"> PAGEREF _Toc508920510 \h </w:instrText>
          </w:r>
          <w:r>
            <w:fldChar w:fldCharType="separate"/>
          </w:r>
          <w:r>
            <w:t>7</w:t>
          </w:r>
          <w:r>
            <w:fldChar w:fldCharType="end"/>
          </w:r>
          <w:r>
            <w:fldChar w:fldCharType="end"/>
          </w:r>
        </w:p>
        <w:p>
          <w:pPr>
            <w:pStyle w:val="12"/>
          </w:pPr>
          <w:r>
            <w:fldChar w:fldCharType="begin"/>
          </w:r>
          <w:r>
            <w:instrText xml:space="preserve"> HYPERLINK \l "_Toc508920511" </w:instrText>
          </w:r>
          <w:r>
            <w:fldChar w:fldCharType="separate"/>
          </w:r>
          <w:r>
            <w:rPr>
              <w:rStyle w:val="18"/>
              <w:rFonts w:ascii="Wingdings" w:hAnsi="Wingdings" w:eastAsia="宋体" w:cs="Times New Roman"/>
            </w:rPr>
            <w:t></w:t>
          </w:r>
          <w:r>
            <w:tab/>
          </w:r>
          <w:r>
            <w:rPr>
              <w:rStyle w:val="18"/>
              <w:rFonts w:hint="eastAsia" w:ascii="Times New Roman" w:hAnsi="Times New Roman" w:eastAsia="宋体" w:cs="Times New Roman"/>
            </w:rPr>
            <w:t>全球税务关系栏目</w:t>
          </w:r>
          <w:r>
            <w:tab/>
          </w:r>
          <w:r>
            <w:fldChar w:fldCharType="begin"/>
          </w:r>
          <w:r>
            <w:instrText xml:space="preserve"> PAGEREF _Toc508920511 \h </w:instrText>
          </w:r>
          <w:r>
            <w:fldChar w:fldCharType="separate"/>
          </w:r>
          <w:r>
            <w:t>10</w:t>
          </w:r>
          <w:r>
            <w:fldChar w:fldCharType="end"/>
          </w:r>
          <w:r>
            <w:fldChar w:fldCharType="end"/>
          </w:r>
        </w:p>
        <w:p>
          <w:pPr>
            <w:pStyle w:val="14"/>
            <w:tabs>
              <w:tab w:val="right" w:leader="dot" w:pos="8296"/>
            </w:tabs>
          </w:pPr>
          <w:r>
            <w:fldChar w:fldCharType="begin"/>
          </w:r>
          <w:r>
            <w:instrText xml:space="preserve"> HYPERLINK \l "_Toc508920512" </w:instrText>
          </w:r>
          <w:r>
            <w:fldChar w:fldCharType="separate"/>
          </w:r>
          <w:r>
            <w:rPr>
              <w:rStyle w:val="18"/>
              <w:rFonts w:ascii="Times New Roman" w:hAnsi="Times New Roman" w:eastAsia="宋体" w:cs="Times New Roman"/>
              <w:b/>
              <w:kern w:val="0"/>
            </w:rPr>
            <w:t xml:space="preserve">3. </w:t>
          </w:r>
          <w:r>
            <w:rPr>
              <w:rStyle w:val="18"/>
              <w:rFonts w:hint="eastAsia" w:ascii="Times New Roman" w:hAnsi="Times New Roman" w:eastAsia="宋体" w:cs="Times New Roman"/>
              <w:b/>
              <w:kern w:val="0"/>
            </w:rPr>
            <w:t>主要国际组织共同倡导各国加强税收制度建设，实现可持续发展目标</w:t>
          </w:r>
          <w:r>
            <w:tab/>
          </w:r>
          <w:r>
            <w:fldChar w:fldCharType="begin"/>
          </w:r>
          <w:r>
            <w:instrText xml:space="preserve"> PAGEREF _Toc508920512 \h </w:instrText>
          </w:r>
          <w:r>
            <w:fldChar w:fldCharType="separate"/>
          </w:r>
          <w:r>
            <w:t>10</w:t>
          </w:r>
          <w:r>
            <w:fldChar w:fldCharType="end"/>
          </w:r>
          <w:r>
            <w:fldChar w:fldCharType="end"/>
          </w:r>
        </w:p>
        <w:p>
          <w:pPr>
            <w:pStyle w:val="12"/>
          </w:pPr>
          <w:r>
            <w:fldChar w:fldCharType="begin"/>
          </w:r>
          <w:r>
            <w:instrText xml:space="preserve"> HYPERLINK \l "_Toc508920513" </w:instrText>
          </w:r>
          <w:r>
            <w:fldChar w:fldCharType="separate"/>
          </w:r>
          <w:r>
            <w:rPr>
              <w:rStyle w:val="18"/>
              <w:rFonts w:ascii="Wingdings" w:hAnsi="Wingdings" w:eastAsia="宋体" w:cs="Times New Roman"/>
            </w:rPr>
            <w:t></w:t>
          </w:r>
          <w:r>
            <w:tab/>
          </w:r>
          <w:r>
            <w:rPr>
              <w:rStyle w:val="18"/>
              <w:rFonts w:hint="eastAsia" w:ascii="Times New Roman" w:hAnsi="Times New Roman" w:eastAsia="宋体" w:cs="Times New Roman"/>
            </w:rPr>
            <w:t>税收政策分析栏目</w:t>
          </w:r>
          <w:r>
            <w:tab/>
          </w:r>
          <w:r>
            <w:fldChar w:fldCharType="begin"/>
          </w:r>
          <w:r>
            <w:instrText xml:space="preserve"> PAGEREF _Toc508920513 \h </w:instrText>
          </w:r>
          <w:r>
            <w:fldChar w:fldCharType="separate"/>
          </w:r>
          <w:r>
            <w:t>12</w:t>
          </w:r>
          <w:r>
            <w:fldChar w:fldCharType="end"/>
          </w:r>
          <w:r>
            <w:fldChar w:fldCharType="end"/>
          </w:r>
        </w:p>
        <w:p>
          <w:pPr>
            <w:pStyle w:val="14"/>
            <w:tabs>
              <w:tab w:val="right" w:leader="dot" w:pos="8296"/>
            </w:tabs>
          </w:pPr>
          <w:r>
            <w:fldChar w:fldCharType="begin"/>
          </w:r>
          <w:r>
            <w:instrText xml:space="preserve"> HYPERLINK \l "_Toc508920514" </w:instrText>
          </w:r>
          <w:r>
            <w:fldChar w:fldCharType="separate"/>
          </w:r>
          <w:r>
            <w:rPr>
              <w:rStyle w:val="18"/>
              <w:rFonts w:ascii="Times New Roman" w:hAnsi="Times New Roman" w:eastAsia="宋体" w:cs="Times New Roman"/>
              <w:b/>
              <w:kern w:val="0"/>
            </w:rPr>
            <w:t>4. OECD</w:t>
          </w:r>
          <w:r>
            <w:rPr>
              <w:rStyle w:val="18"/>
              <w:rFonts w:hint="eastAsia" w:ascii="Times New Roman" w:hAnsi="Times New Roman" w:eastAsia="宋体" w:cs="Times New Roman"/>
              <w:b/>
              <w:kern w:val="0"/>
            </w:rPr>
            <w:t>发布《能源使用税</w:t>
          </w:r>
          <w:r>
            <w:rPr>
              <w:rStyle w:val="18"/>
              <w:rFonts w:ascii="Times New Roman" w:hAnsi="Times New Roman" w:eastAsia="宋体" w:cs="Times New Roman"/>
              <w:b/>
              <w:kern w:val="0"/>
            </w:rPr>
            <w:t>2018</w:t>
          </w:r>
          <w:r>
            <w:rPr>
              <w:rStyle w:val="18"/>
              <w:rFonts w:hint="eastAsia" w:ascii="Times New Roman" w:hAnsi="Times New Roman" w:eastAsia="宋体" w:cs="Times New Roman"/>
              <w:b/>
              <w:kern w:val="0"/>
            </w:rPr>
            <w:t>》提出政府应更好地利用能源税来应对气候变化</w:t>
          </w:r>
          <w:r>
            <w:tab/>
          </w:r>
          <w:r>
            <w:fldChar w:fldCharType="begin"/>
          </w:r>
          <w:r>
            <w:instrText xml:space="preserve"> PAGEREF _Toc508920514 \h </w:instrText>
          </w:r>
          <w:r>
            <w:fldChar w:fldCharType="separate"/>
          </w:r>
          <w:r>
            <w:t>12</w:t>
          </w:r>
          <w:r>
            <w:fldChar w:fldCharType="end"/>
          </w:r>
          <w:r>
            <w:fldChar w:fldCharType="end"/>
          </w:r>
        </w:p>
        <w:p>
          <w:pPr>
            <w:pStyle w:val="14"/>
            <w:tabs>
              <w:tab w:val="right" w:leader="dot" w:pos="8296"/>
            </w:tabs>
          </w:pPr>
          <w:r>
            <w:fldChar w:fldCharType="begin"/>
          </w:r>
          <w:r>
            <w:instrText xml:space="preserve"> HYPERLINK \l "_Toc508920515" </w:instrText>
          </w:r>
          <w:r>
            <w:fldChar w:fldCharType="separate"/>
          </w:r>
          <w:r>
            <w:rPr>
              <w:rStyle w:val="18"/>
              <w:rFonts w:ascii="Times New Roman" w:hAnsi="Times New Roman" w:eastAsia="宋体" w:cs="Times New Roman"/>
              <w:b/>
              <w:kern w:val="0"/>
            </w:rPr>
            <w:t>5. OECD</w:t>
          </w:r>
          <w:r>
            <w:rPr>
              <w:rStyle w:val="18"/>
              <w:rFonts w:hint="eastAsia" w:ascii="Times New Roman" w:hAnsi="Times New Roman" w:eastAsia="宋体" w:cs="Times New Roman"/>
              <w:b/>
              <w:kern w:val="0"/>
            </w:rPr>
            <w:t>发布税务工作文件《股息、利息和资本收益的法定税率：考虑个人对债务和股权的偏好》</w:t>
          </w:r>
          <w:r>
            <w:tab/>
          </w:r>
          <w:r>
            <w:fldChar w:fldCharType="begin"/>
          </w:r>
          <w:r>
            <w:instrText xml:space="preserve"> PAGEREF _Toc508920515 \h </w:instrText>
          </w:r>
          <w:r>
            <w:fldChar w:fldCharType="separate"/>
          </w:r>
          <w:r>
            <w:t>16</w:t>
          </w:r>
          <w:r>
            <w:fldChar w:fldCharType="end"/>
          </w:r>
          <w:r>
            <w:fldChar w:fldCharType="end"/>
          </w:r>
        </w:p>
        <w:p>
          <w:pPr>
            <w:pStyle w:val="14"/>
            <w:tabs>
              <w:tab w:val="right" w:leader="dot" w:pos="8296"/>
            </w:tabs>
          </w:pPr>
          <w:r>
            <w:fldChar w:fldCharType="begin"/>
          </w:r>
          <w:r>
            <w:instrText xml:space="preserve"> HYPERLINK \l "_Toc508920516" </w:instrText>
          </w:r>
          <w:r>
            <w:fldChar w:fldCharType="separate"/>
          </w:r>
          <w:r>
            <w:rPr>
              <w:rStyle w:val="18"/>
              <w:rFonts w:ascii="Times New Roman" w:hAnsi="Times New Roman" w:eastAsia="宋体" w:cs="Times New Roman"/>
              <w:b/>
              <w:kern w:val="0"/>
            </w:rPr>
            <w:t xml:space="preserve">6. </w:t>
          </w:r>
          <w:r>
            <w:rPr>
              <w:rStyle w:val="18"/>
              <w:rFonts w:hint="eastAsia" w:ascii="Times New Roman" w:hAnsi="Times New Roman" w:eastAsia="宋体" w:cs="Times New Roman"/>
              <w:b/>
              <w:kern w:val="0"/>
            </w:rPr>
            <w:t>损失履约规定：衡量税收对称性和自动稳定的影响</w:t>
          </w:r>
          <w:r>
            <w:tab/>
          </w:r>
          <w:r>
            <w:fldChar w:fldCharType="begin"/>
          </w:r>
          <w:r>
            <w:instrText xml:space="preserve"> PAGEREF _Toc508920516 \h </w:instrText>
          </w:r>
          <w:r>
            <w:fldChar w:fldCharType="separate"/>
          </w:r>
          <w:r>
            <w:t>21</w:t>
          </w:r>
          <w:r>
            <w:fldChar w:fldCharType="end"/>
          </w:r>
          <w:r>
            <w:fldChar w:fldCharType="end"/>
          </w:r>
        </w:p>
        <w:p>
          <w:pPr>
            <w:pStyle w:val="12"/>
          </w:pPr>
          <w:r>
            <w:fldChar w:fldCharType="begin"/>
          </w:r>
          <w:r>
            <w:instrText xml:space="preserve"> HYPERLINK \l "_Toc508920517" </w:instrText>
          </w:r>
          <w:r>
            <w:fldChar w:fldCharType="separate"/>
          </w:r>
          <w:r>
            <w:rPr>
              <w:rStyle w:val="18"/>
              <w:rFonts w:ascii="Wingdings" w:hAnsi="Wingdings" w:eastAsia="宋体" w:cs="Times New Roman"/>
            </w:rPr>
            <w:t></w:t>
          </w:r>
          <w:r>
            <w:tab/>
          </w:r>
          <w:r>
            <w:rPr>
              <w:rStyle w:val="18"/>
              <w:rFonts w:hint="eastAsia" w:ascii="Times New Roman" w:hAnsi="Times New Roman" w:eastAsia="宋体" w:cs="Times New Roman"/>
            </w:rPr>
            <w:t>转让定价栏目</w:t>
          </w:r>
          <w:r>
            <w:tab/>
          </w:r>
          <w:r>
            <w:fldChar w:fldCharType="begin"/>
          </w:r>
          <w:r>
            <w:instrText xml:space="preserve"> PAGEREF _Toc508920517 \h </w:instrText>
          </w:r>
          <w:r>
            <w:fldChar w:fldCharType="separate"/>
          </w:r>
          <w:r>
            <w:t>23</w:t>
          </w:r>
          <w:r>
            <w:fldChar w:fldCharType="end"/>
          </w:r>
          <w:r>
            <w:fldChar w:fldCharType="end"/>
          </w:r>
        </w:p>
        <w:p>
          <w:pPr>
            <w:pStyle w:val="14"/>
            <w:tabs>
              <w:tab w:val="right" w:leader="dot" w:pos="8296"/>
            </w:tabs>
          </w:pPr>
          <w:r>
            <w:fldChar w:fldCharType="begin"/>
          </w:r>
          <w:r>
            <w:instrText xml:space="preserve"> HYPERLINK \l "_Toc508920518" </w:instrText>
          </w:r>
          <w:r>
            <w:fldChar w:fldCharType="separate"/>
          </w:r>
          <w:r>
            <w:rPr>
              <w:rStyle w:val="18"/>
              <w:rFonts w:ascii="Times New Roman" w:hAnsi="Times New Roman" w:eastAsia="宋体" w:cs="Times New Roman"/>
              <w:b/>
              <w:kern w:val="0"/>
            </w:rPr>
            <w:t>7.</w:t>
          </w:r>
          <w:r>
            <w:rPr>
              <w:rStyle w:val="18"/>
              <w:rFonts w:ascii="等线 Light" w:hAnsi="等线 Light" w:eastAsia="等线 Light" w:cs="Times New Roman"/>
              <w:b/>
              <w:bCs/>
            </w:rPr>
            <w:t xml:space="preserve"> </w:t>
          </w:r>
          <w:r>
            <w:rPr>
              <w:rStyle w:val="18"/>
              <w:rFonts w:ascii="Times New Roman" w:hAnsi="Times New Roman" w:eastAsia="宋体" w:cs="Times New Roman"/>
              <w:b/>
              <w:kern w:val="0"/>
            </w:rPr>
            <w:t>OECD</w:t>
          </w:r>
          <w:r>
            <w:rPr>
              <w:rStyle w:val="18"/>
              <w:rFonts w:hint="eastAsia" w:ascii="Times New Roman" w:hAnsi="Times New Roman" w:eastAsia="宋体" w:cs="Times New Roman"/>
              <w:b/>
              <w:kern w:val="0"/>
            </w:rPr>
            <w:t>和巴西启动跨境税收规则差异审查项目</w:t>
          </w:r>
          <w:r>
            <w:tab/>
          </w:r>
          <w:r>
            <w:fldChar w:fldCharType="begin"/>
          </w:r>
          <w:r>
            <w:instrText xml:space="preserve"> PAGEREF _Toc508920518 \h </w:instrText>
          </w:r>
          <w:r>
            <w:fldChar w:fldCharType="separate"/>
          </w:r>
          <w:r>
            <w:t>23</w:t>
          </w:r>
          <w:r>
            <w:fldChar w:fldCharType="end"/>
          </w:r>
          <w:r>
            <w:fldChar w:fldCharType="end"/>
          </w:r>
        </w:p>
        <w:p>
          <w:pPr>
            <w:spacing w:line="360" w:lineRule="auto"/>
            <w:rPr>
              <w:rFonts w:ascii="Times New Roman" w:hAnsi="Times New Roman" w:cs="Times New Roman"/>
              <w:sz w:val="24"/>
              <w:szCs w:val="24"/>
            </w:rPr>
          </w:pPr>
          <w:r>
            <w:rPr>
              <w:rFonts w:ascii="Times New Roman" w:hAnsi="Times New Roman" w:cs="Times New Roman"/>
              <w:b/>
              <w:bCs/>
              <w:sz w:val="24"/>
              <w:szCs w:val="24"/>
              <w:lang w:val="zh-CN"/>
            </w:rPr>
            <w:fldChar w:fldCharType="end"/>
          </w:r>
        </w:p>
      </w:sdtContent>
    </w:sdt>
    <w:p>
      <w:pPr>
        <w:spacing w:line="360" w:lineRule="atLeast"/>
        <w:jc w:val="center"/>
        <w:rPr>
          <w:rFonts w:ascii="Times New Roman" w:hAnsi="Times New Roman" w:eastAsia="楷体" w:cs="Times New Roman"/>
          <w:b/>
          <w:color w:val="002060"/>
          <w:sz w:val="36"/>
          <w:szCs w:val="36"/>
        </w:rPr>
      </w:pPr>
    </w:p>
    <w:p>
      <w:pPr>
        <w:spacing w:line="360" w:lineRule="atLeast"/>
        <w:jc w:val="center"/>
        <w:rPr>
          <w:rFonts w:ascii="Times New Roman" w:hAnsi="Times New Roman" w:eastAsia="楷体" w:cs="Times New Roman"/>
          <w:b/>
          <w:color w:val="002060"/>
          <w:sz w:val="36"/>
          <w:szCs w:val="36"/>
        </w:rPr>
      </w:pPr>
    </w:p>
    <w:p>
      <w:pPr>
        <w:spacing w:line="360" w:lineRule="atLeast"/>
        <w:jc w:val="center"/>
        <w:rPr>
          <w:rFonts w:ascii="Times New Roman" w:hAnsi="Times New Roman" w:eastAsia="楷体" w:cs="Times New Roman"/>
          <w:b/>
          <w:color w:val="002060"/>
          <w:sz w:val="36"/>
          <w:szCs w:val="36"/>
        </w:rPr>
      </w:pPr>
    </w:p>
    <w:p>
      <w:pPr>
        <w:widowControl/>
        <w:jc w:val="left"/>
        <w:rPr>
          <w:rFonts w:ascii="Times New Roman" w:hAnsi="Times New Roman" w:eastAsia="楷体" w:cs="Times New Roman"/>
          <w:b/>
          <w:color w:val="002060"/>
          <w:sz w:val="36"/>
          <w:szCs w:val="36"/>
        </w:rPr>
      </w:pPr>
      <w:r>
        <w:rPr>
          <w:rFonts w:ascii="Times New Roman" w:hAnsi="Times New Roman" w:eastAsia="楷体" w:cs="Times New Roman"/>
          <w:b/>
          <w:color w:val="002060"/>
          <w:sz w:val="36"/>
          <w:szCs w:val="36"/>
        </w:rPr>
        <w:br w:type="page"/>
      </w:r>
    </w:p>
    <w:p>
      <w:pPr>
        <w:pStyle w:val="2"/>
        <w:widowControl/>
        <w:numPr>
          <w:ilvl w:val="0"/>
          <w:numId w:val="1"/>
        </w:numPr>
        <w:adjustRightInd w:val="0"/>
        <w:snapToGrid w:val="0"/>
        <w:spacing w:before="312" w:beforeLines="100" w:after="312" w:afterLines="100" w:line="360" w:lineRule="auto"/>
        <w:ind w:left="482" w:hanging="482"/>
        <w:jc w:val="left"/>
        <w:rPr>
          <w:rFonts w:ascii="Times New Roman" w:hAnsi="Times New Roman" w:eastAsia="宋体" w:cs="Times New Roman"/>
          <w:sz w:val="24"/>
          <w:szCs w:val="24"/>
        </w:rPr>
      </w:pPr>
      <w:bookmarkStart w:id="0" w:name="_Toc508920507"/>
      <w:bookmarkStart w:id="1" w:name="_Toc481445764"/>
      <w:r>
        <w:rPr>
          <w:rFonts w:ascii="Times New Roman" w:hAnsi="Times New Roman" w:eastAsia="宋体" w:cs="Times New Roman"/>
          <w:sz w:val="24"/>
          <w:szCs w:val="24"/>
        </w:rPr>
        <w:t>税基侵蚀与利润转移（BEPS）栏目</w:t>
      </w:r>
      <w:bookmarkEnd w:id="0"/>
      <w:bookmarkEnd w:id="1"/>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2" w:name="_Toc508920508"/>
      <w:r>
        <w:rPr>
          <w:rFonts w:ascii="Times New Roman" w:hAnsi="Times New Roman" w:eastAsia="宋体" w:cs="Times New Roman"/>
          <w:b/>
          <w:kern w:val="0"/>
          <w:sz w:val="24"/>
          <w:szCs w:val="24"/>
        </w:rPr>
        <w:t>1.</w:t>
      </w:r>
      <w:r>
        <w:rPr>
          <w:rFonts w:hint="eastAsia" w:ascii="Times New Roman" w:hAnsi="Times New Roman" w:eastAsia="宋体" w:cs="Times New Roman"/>
          <w:b/>
          <w:kern w:val="0"/>
          <w:sz w:val="24"/>
          <w:szCs w:val="24"/>
        </w:rPr>
        <w:t xml:space="preserve"> </w:t>
      </w:r>
      <w:r>
        <w:rPr>
          <w:rFonts w:ascii="Times New Roman" w:hAnsi="Times New Roman" w:eastAsia="宋体" w:cs="Times New Roman"/>
          <w:b/>
          <w:kern w:val="0"/>
          <w:sz w:val="24"/>
          <w:szCs w:val="24"/>
        </w:rPr>
        <w:t>OECD</w:t>
      </w:r>
      <w:r>
        <w:rPr>
          <w:rFonts w:hint="eastAsia" w:ascii="Times New Roman" w:hAnsi="Times New Roman" w:eastAsia="宋体" w:cs="Times New Roman"/>
          <w:b/>
          <w:kern w:val="0"/>
          <w:sz w:val="24"/>
          <w:szCs w:val="24"/>
        </w:rPr>
        <w:t>发布国别报告实施新指南及税收优惠</w:t>
      </w:r>
      <w:r>
        <w:rPr>
          <w:rFonts w:ascii="Times New Roman" w:hAnsi="Times New Roman" w:eastAsia="宋体" w:cs="Times New Roman"/>
          <w:b/>
          <w:kern w:val="0"/>
          <w:sz w:val="24"/>
          <w:szCs w:val="24"/>
          <w:vertAlign w:val="superscript"/>
        </w:rPr>
        <w:footnoteReference w:id="0"/>
      </w:r>
      <w:bookmarkEnd w:id="2"/>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8</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包容性框架为确保税务机关和跨国集团在实施国别报告（</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行动</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）方面的确定性发布了新的指南。此外，</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包容性框架还批准更新了由有害税务实践论坛（</w:t>
      </w:r>
      <w:r>
        <w:rPr>
          <w:rFonts w:ascii="Times New Roman" w:hAnsi="Times New Roman" w:eastAsia="宋体" w:cs="Times New Roman"/>
          <w:sz w:val="24"/>
          <w:szCs w:val="24"/>
        </w:rPr>
        <w:t>FHTP</w:t>
      </w:r>
      <w:r>
        <w:rPr>
          <w:rFonts w:hint="eastAsia" w:ascii="Times New Roman" w:hAnsi="Times New Roman" w:eastAsia="宋体" w:cs="Times New Roman"/>
          <w:sz w:val="24"/>
          <w:szCs w:val="24"/>
        </w:rPr>
        <w:t>）进行的有关</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第五项行动计划的优惠政策审查结果。</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1.1</w:t>
      </w:r>
      <w:r>
        <w:rPr>
          <w:rFonts w:hint="eastAsia" w:ascii="Times New Roman" w:hAnsi="Times New Roman" w:eastAsia="宋体" w:cs="Times New Roman"/>
          <w:b/>
          <w:sz w:val="24"/>
          <w:szCs w:val="24"/>
        </w:rPr>
        <w:t>国别报告实施新指南</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1.1.1 </w:t>
      </w:r>
      <w:r>
        <w:rPr>
          <w:rFonts w:hint="eastAsia" w:ascii="Times New Roman" w:hAnsi="Times New Roman" w:eastAsia="宋体" w:cs="Times New Roman"/>
          <w:b/>
          <w:sz w:val="24"/>
          <w:szCs w:val="24"/>
        </w:rPr>
        <w:t>背景</w:t>
      </w:r>
      <w:r>
        <w:rPr>
          <w:rFonts w:ascii="Times New Roman" w:hAnsi="Times New Roman" w:eastAsia="宋体" w:cs="Times New Roman"/>
          <w:b/>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BEPS</w:t>
      </w:r>
      <w:r>
        <w:rPr>
          <w:rFonts w:hint="eastAsia" w:ascii="Times New Roman" w:hAnsi="Times New Roman" w:eastAsia="宋体" w:cs="Times New Roman"/>
          <w:sz w:val="24"/>
          <w:szCs w:val="24"/>
        </w:rPr>
        <w:t>行动第十三项行动计划《转让定价文件和国别报告》为跨国企业（</w:t>
      </w:r>
      <w:r>
        <w:rPr>
          <w:rFonts w:ascii="Times New Roman" w:hAnsi="Times New Roman" w:eastAsia="宋体" w:cs="Times New Roman"/>
          <w:sz w:val="24"/>
          <w:szCs w:val="24"/>
        </w:rPr>
        <w:t>MNEs</w:t>
      </w:r>
      <w:r>
        <w:rPr>
          <w:rFonts w:hint="eastAsia" w:ascii="Times New Roman" w:hAnsi="Times New Roman" w:eastAsia="宋体" w:cs="Times New Roman"/>
          <w:sz w:val="24"/>
          <w:szCs w:val="24"/>
        </w:rPr>
        <w:t>，</w:t>
      </w:r>
      <w:r>
        <w:rPr>
          <w:rFonts w:ascii="Times New Roman" w:hAnsi="Times New Roman" w:eastAsia="宋体" w:cs="Times New Roman"/>
          <w:sz w:val="24"/>
          <w:szCs w:val="24"/>
        </w:rPr>
        <w:t>Multinational Enterprises</w:t>
      </w:r>
      <w:r>
        <w:rPr>
          <w:rFonts w:hint="eastAsia" w:ascii="Times New Roman" w:hAnsi="Times New Roman" w:eastAsia="宋体" w:cs="Times New Roman"/>
          <w:sz w:val="24"/>
          <w:szCs w:val="24"/>
        </w:rPr>
        <w:t>）和各税务管辖区提供一个模板，国别报告是税务机关实施高级别转让定价风险评估，或者评价其他税基侵蚀和利润转移风险的一项工具。国别报告要求跨国企业按年度向其实际经营所在的税收管辖区申报国别报告，包括其根据集团内部经营活动分布指标计算的全球收入分配和税款缴纳情况，以及在各税收管辖区从事经营活动的集团成员实体名单及其所从事的经营活动。</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为了促进各国更好的实施国别报告标准，</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行动第十三项报告包括一个国别报告执行汇总文件集，其中包括（</w:t>
      </w:r>
      <w:r>
        <w:rPr>
          <w:rFonts w:ascii="Times New Roman" w:hAnsi="Times New Roman" w:eastAsia="宋体" w:cs="Times New Roman"/>
          <w:sz w:val="24"/>
          <w:szCs w:val="24"/>
        </w:rPr>
        <w:t>i</w:t>
      </w:r>
      <w:r>
        <w:rPr>
          <w:rFonts w:hint="eastAsia" w:ascii="Times New Roman" w:hAnsi="Times New Roman" w:eastAsia="宋体" w:cs="Times New Roman"/>
          <w:sz w:val="24"/>
          <w:szCs w:val="24"/>
        </w:rPr>
        <w:t>）可供各国使用的立法模型，各国可按此模型要求</w:t>
      </w:r>
      <w:r>
        <w:rPr>
          <w:rFonts w:ascii="Times New Roman" w:hAnsi="Times New Roman" w:eastAsia="宋体" w:cs="Times New Roman"/>
          <w:sz w:val="24"/>
          <w:szCs w:val="24"/>
        </w:rPr>
        <w:t>MNE</w:t>
      </w:r>
      <w:r>
        <w:rPr>
          <w:rFonts w:hint="eastAsia" w:ascii="Times New Roman" w:hAnsi="Times New Roman" w:eastAsia="宋体" w:cs="Times New Roman"/>
          <w:sz w:val="24"/>
          <w:szCs w:val="24"/>
        </w:rPr>
        <w:t>集团的最终母公司在其管辖范围内提交国别报告，包括要求的备案文件；（</w:t>
      </w:r>
      <w:r>
        <w:rPr>
          <w:rFonts w:ascii="Times New Roman" w:hAnsi="Times New Roman" w:eastAsia="宋体" w:cs="Times New Roman"/>
          <w:sz w:val="24"/>
          <w:szCs w:val="24"/>
        </w:rPr>
        <w:t>ii</w:t>
      </w:r>
      <w:r>
        <w:rPr>
          <w:rFonts w:hint="eastAsia" w:ascii="Times New Roman" w:hAnsi="Times New Roman" w:eastAsia="宋体" w:cs="Times New Roman"/>
          <w:sz w:val="24"/>
          <w:szCs w:val="24"/>
        </w:rPr>
        <w:t>）三种可用于促进交换国别报告的主管机构协议的模式，这些模式分别基于</w:t>
      </w:r>
      <w:r>
        <w:rPr>
          <w:rFonts w:ascii="Times New Roman" w:hAnsi="Times New Roman" w:eastAsia="宋体" w:cs="Times New Roman"/>
          <w:sz w:val="24"/>
          <w:szCs w:val="24"/>
        </w:rPr>
        <w:t>“</w:t>
      </w:r>
      <w:r>
        <w:rPr>
          <w:rFonts w:hint="eastAsia" w:ascii="Times New Roman" w:hAnsi="Times New Roman" w:eastAsia="宋体" w:cs="Times New Roman"/>
          <w:sz w:val="24"/>
          <w:szCs w:val="24"/>
        </w:rPr>
        <w:t>税务行政援助多边公约</w:t>
      </w:r>
      <w:r>
        <w:rPr>
          <w:rFonts w:ascii="Times New Roman" w:hAnsi="Times New Roman" w:eastAsia="宋体" w:cs="Times New Roman"/>
          <w:sz w:val="24"/>
          <w:szCs w:val="24"/>
        </w:rPr>
        <w:t>”</w:t>
      </w:r>
      <w:r>
        <w:rPr>
          <w:rFonts w:hint="eastAsia" w:ascii="Times New Roman" w:hAnsi="Times New Roman" w:eastAsia="宋体" w:cs="Times New Roman"/>
          <w:sz w:val="24"/>
          <w:szCs w:val="24"/>
        </w:rPr>
        <w:t>，双边税收协定和税务信息交换协议（</w:t>
      </w:r>
      <w:r>
        <w:rPr>
          <w:rFonts w:ascii="Times New Roman" w:hAnsi="Times New Roman" w:eastAsia="宋体" w:cs="Times New Roman"/>
          <w:sz w:val="24"/>
          <w:szCs w:val="24"/>
        </w:rPr>
        <w:t>TIEAs</w:t>
      </w:r>
      <w:r>
        <w:rPr>
          <w:rFonts w:hint="eastAsia" w:ascii="Times New Roman" w:hAnsi="Times New Roman" w:eastAsia="宋体" w:cs="Times New Roman"/>
          <w:sz w:val="24"/>
          <w:szCs w:val="24"/>
        </w:rPr>
        <w:t>，</w:t>
      </w:r>
      <w:r>
        <w:rPr>
          <w:rFonts w:ascii="Times New Roman" w:hAnsi="Times New Roman" w:eastAsia="宋体" w:cs="Times New Roman"/>
          <w:sz w:val="24"/>
          <w:szCs w:val="24"/>
        </w:rPr>
        <w:t>Tax Information Exchange Agreements</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BEPS “</w:t>
      </w:r>
      <w:r>
        <w:rPr>
          <w:rFonts w:hint="eastAsia" w:ascii="Times New Roman" w:hAnsi="Times New Roman" w:eastAsia="宋体" w:cs="Times New Roman"/>
          <w:sz w:val="24"/>
          <w:szCs w:val="24"/>
        </w:rPr>
        <w:t>包容性框架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已经发布了关于世界各地国别报告执行情况的信息，并不断根据当前情况更新指导意见。</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1.1.2 </w:t>
      </w:r>
      <w:r>
        <w:rPr>
          <w:rFonts w:hint="eastAsia" w:ascii="Times New Roman" w:hAnsi="Times New Roman" w:eastAsia="宋体" w:cs="Times New Roman"/>
          <w:b/>
          <w:sz w:val="24"/>
          <w:szCs w:val="24"/>
        </w:rPr>
        <w:t>具体更新</w:t>
      </w:r>
      <w:r>
        <w:rPr>
          <w:rFonts w:ascii="Times New Roman" w:hAnsi="Times New Roman" w:eastAsia="宋体" w:cs="Times New Roman"/>
          <w:b/>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指南更新具体解决了两个问题：合并的集团总收入的定义以及不遵守保密性、适当性和一致性条件是否构成系统性失效。</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1.1.2.1 </w:t>
      </w:r>
      <w:r>
        <w:rPr>
          <w:rFonts w:hint="eastAsia" w:ascii="Times New Roman" w:hAnsi="Times New Roman" w:eastAsia="宋体" w:cs="Times New Roman"/>
          <w:b/>
          <w:sz w:val="24"/>
          <w:szCs w:val="24"/>
        </w:rPr>
        <w:t>合并的集团总收入的定义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在确定跨国企业的合并集团总收入是否低于</w:t>
      </w:r>
      <w:r>
        <w:rPr>
          <w:rFonts w:ascii="Times New Roman" w:hAnsi="Times New Roman" w:eastAsia="宋体" w:cs="Times New Roman"/>
          <w:sz w:val="24"/>
          <w:szCs w:val="24"/>
        </w:rPr>
        <w:t>7.5</w:t>
      </w:r>
      <w:r>
        <w:rPr>
          <w:rFonts w:hint="eastAsia" w:ascii="Times New Roman" w:hAnsi="Times New Roman" w:eastAsia="宋体" w:cs="Times New Roman"/>
          <w:sz w:val="24"/>
          <w:szCs w:val="24"/>
        </w:rPr>
        <w:t>亿欧元（或接近按</w:t>
      </w:r>
      <w:r>
        <w:rPr>
          <w:rFonts w:ascii="Times New Roman" w:hAnsi="Times New Roman" w:eastAsia="宋体" w:cs="Times New Roman"/>
          <w:sz w:val="24"/>
          <w:szCs w:val="24"/>
        </w:rPr>
        <w:t>2015</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月汇率的当地货币的等值金额）时，合并财务报表中反映的所有收入应该纳入集团合并总收入中。如果这些投资活动的特殊收益项目按照适用的会计准则在合并财务报表中列报，则最终母公司所在的管辖区域要求其集团合并总收入必须包含投资活动的特殊收益。</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对于有些金融实体，其财务报表中可能没有记录某些项目的交易总额，应在财务活动中使用与适用会计准则下类似的收入科目。这些项目可以被标记为</w:t>
      </w:r>
      <w:r>
        <w:rPr>
          <w:rFonts w:ascii="Times New Roman" w:hAnsi="Times New Roman" w:eastAsia="宋体" w:cs="Times New Roman"/>
          <w:sz w:val="24"/>
          <w:szCs w:val="24"/>
        </w:rPr>
        <w:t>“</w:t>
      </w:r>
      <w:r>
        <w:rPr>
          <w:rFonts w:hint="eastAsia" w:ascii="Times New Roman" w:hAnsi="Times New Roman" w:eastAsia="宋体" w:cs="Times New Roman"/>
          <w:sz w:val="24"/>
          <w:szCs w:val="24"/>
        </w:rPr>
        <w:t>净银行产品</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净收入</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或其他取决于会计准则的科目。例如，如果利率交换等金融交易的收入或收益根据适用的会计准则在净额基础上适当报告，则</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收入</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一词是指交易的净额。</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在确定其国别报告申报义务时，最终母公司或代理母公司在计算集团合并收入时不应暴露于任何其他母公司或代理母公司为纳税目的居住的税收管辖区的本地文档中。这与</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第十三项行动计划最低标准一致。</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有的跨国集团由于没有在证券交易所上市，因此不被要求编制集团合并财务报表，但他们也有可能会编制合并财务报表，比如用于供投资者和债权人参考，它们有可能是按照一般会计准则编制，在这种情况下，要求其按照国别报告执行手册</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条所述计算集团合并收入。</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1.1.2.2 </w:t>
      </w:r>
      <w:r>
        <w:rPr>
          <w:rFonts w:hint="eastAsia" w:ascii="Times New Roman" w:hAnsi="Times New Roman" w:eastAsia="宋体" w:cs="Times New Roman"/>
          <w:b/>
          <w:sz w:val="24"/>
          <w:szCs w:val="24"/>
        </w:rPr>
        <w:t>不遵守保密性、适当性和一致性条件是否构成系统性失效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当一个税收管辖区不遵守保密性、适当性和一致性条件时，是否允许其他税收管辖区暂停与其交换国别报告？如果是的话，这种暂停会被视为系统失效吗？</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第十三项行动计划第</w:t>
      </w:r>
      <w:r>
        <w:rPr>
          <w:rFonts w:ascii="Times New Roman" w:hAnsi="Times New Roman" w:eastAsia="宋体" w:cs="Times New Roman"/>
          <w:sz w:val="24"/>
          <w:szCs w:val="24"/>
        </w:rPr>
        <w:t>56</w:t>
      </w:r>
      <w:r>
        <w:rPr>
          <w:rFonts w:hint="eastAsia" w:ascii="Times New Roman" w:hAnsi="Times New Roman" w:eastAsia="宋体" w:cs="Times New Roman"/>
          <w:sz w:val="24"/>
          <w:szCs w:val="24"/>
        </w:rPr>
        <w:t>段的规定，保密性、适当性和一致性是获取和使用国别报告的必要条件。不遵守这些条件的后果将取决于辖区之间的合格主管当局协议（</w:t>
      </w:r>
      <w:r>
        <w:rPr>
          <w:rFonts w:ascii="Times New Roman" w:hAnsi="Times New Roman" w:eastAsia="宋体" w:cs="Times New Roman"/>
          <w:sz w:val="24"/>
          <w:szCs w:val="24"/>
        </w:rPr>
        <w:t>QCAA</w:t>
      </w:r>
      <w:r>
        <w:rPr>
          <w:rFonts w:hint="eastAsia" w:ascii="Times New Roman" w:hAnsi="Times New Roman" w:eastAsia="宋体" w:cs="Times New Roman"/>
          <w:sz w:val="24"/>
          <w:szCs w:val="24"/>
        </w:rPr>
        <w:t>，</w:t>
      </w:r>
      <w:r>
        <w:rPr>
          <w:rFonts w:ascii="Times New Roman" w:hAnsi="Times New Roman" w:eastAsia="宋体" w:cs="Times New Roman"/>
          <w:sz w:val="24"/>
          <w:szCs w:val="24"/>
        </w:rPr>
        <w:t>Qualifying Competent Authority Agreement</w:t>
      </w:r>
      <w:r>
        <w:rPr>
          <w:rFonts w:hint="eastAsia" w:ascii="Times New Roman" w:hAnsi="Times New Roman" w:eastAsia="宋体" w:cs="Times New Roman"/>
          <w:sz w:val="24"/>
          <w:szCs w:val="24"/>
        </w:rPr>
        <w:t>）条款。根据</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第十三项行动计划中所载的多边主管当局协议和双边主管当局协议模板的第</w:t>
      </w:r>
      <w:r>
        <w:rPr>
          <w:rFonts w:ascii="Times New Roman" w:hAnsi="Times New Roman" w:eastAsia="宋体" w:cs="Times New Roman"/>
          <w:sz w:val="24"/>
          <w:szCs w:val="24"/>
        </w:rPr>
        <w:t>5</w:t>
      </w:r>
      <w:r>
        <w:rPr>
          <w:rFonts w:hint="eastAsia" w:ascii="Times New Roman" w:hAnsi="Times New Roman" w:eastAsia="宋体" w:cs="Times New Roman"/>
          <w:sz w:val="24"/>
          <w:szCs w:val="24"/>
        </w:rPr>
        <w:t>节第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款，所有交换的信息均须遵守相关公约或税收信息交换协议（</w:t>
      </w:r>
      <w:r>
        <w:rPr>
          <w:rFonts w:ascii="Times New Roman" w:hAnsi="Times New Roman" w:eastAsia="宋体" w:cs="Times New Roman"/>
          <w:sz w:val="24"/>
          <w:szCs w:val="24"/>
        </w:rPr>
        <w:t>TIEA</w:t>
      </w:r>
      <w:r>
        <w:rPr>
          <w:rFonts w:hint="eastAsia" w:ascii="Times New Roman" w:hAnsi="Times New Roman" w:eastAsia="宋体" w:cs="Times New Roman"/>
          <w:sz w:val="24"/>
          <w:szCs w:val="24"/>
        </w:rPr>
        <w:t>）规定的保密规则和其他保障措施，包括限制交换信息使用的条款。根据这些协议第</w:t>
      </w:r>
      <w:r>
        <w:rPr>
          <w:rFonts w:ascii="Times New Roman" w:hAnsi="Times New Roman" w:eastAsia="宋体" w:cs="Times New Roman"/>
          <w:sz w:val="24"/>
          <w:szCs w:val="24"/>
        </w:rPr>
        <w:t>5</w:t>
      </w:r>
      <w:r>
        <w:rPr>
          <w:rFonts w:hint="eastAsia" w:ascii="Times New Roman" w:hAnsi="Times New Roman" w:eastAsia="宋体" w:cs="Times New Roman"/>
          <w:sz w:val="24"/>
          <w:szCs w:val="24"/>
        </w:rPr>
        <w:t>节第</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款的规定，信息的使用进一步局限于高层面的转让定价评估、税基侵蚀和利润转移风险评估、适当的经济和统计分析。</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在不影响其他权利的情况下，根据多边主管当局协议第</w:t>
      </w:r>
      <w:r>
        <w:rPr>
          <w:rFonts w:ascii="Times New Roman" w:hAnsi="Times New Roman" w:eastAsia="宋体" w:cs="Times New Roman"/>
          <w:sz w:val="24"/>
          <w:szCs w:val="24"/>
        </w:rPr>
        <w:t>8</w:t>
      </w:r>
      <w:r>
        <w:rPr>
          <w:rFonts w:hint="eastAsia" w:ascii="Times New Roman" w:hAnsi="Times New Roman" w:eastAsia="宋体" w:cs="Times New Roman"/>
          <w:sz w:val="24"/>
          <w:szCs w:val="24"/>
        </w:rPr>
        <w:t>节第</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段和双边主管当局协议第</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款第</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段的规定，主管当局可以在确定另一主管当局存在或已出现严重不遵守条件的情况下通过书面通知其暂时中止信息交换。严重不遵守情况是指不符合第</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条第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款和第</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款规定的情况以及不符合相关国际协议的相应条款（与保密性和适当性条件相关）以及无法根据另一主管当局的要求及时、适当地提供信息（与一致性条件相关）。正如经合组织《关于在国别报告中适当使用信息的指导》第</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条中所阐述的那样，这可以基于一个管辖区对其他管辖区适当使用国别报告评审的评估结果。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一旦主管税务机关确定另一主管当局存在或已出现严重不遵守情况，鼓励其在决定是否暂停信息交换前考虑以下因素：不遵守的频率和严重程度以及是否有其他补救措施等。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根据多边主管当局协议和双边主管当局协议模式，在任何暂停交换之前，主管当局必须与另一主管当局进行协商。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根据示范立法第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条第</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款的定义，系统性失效发生在由于管辖区除</w:t>
      </w:r>
      <w:r>
        <w:rPr>
          <w:rFonts w:ascii="Times New Roman" w:hAnsi="Times New Roman" w:eastAsia="宋体" w:cs="Times New Roman"/>
          <w:sz w:val="24"/>
          <w:szCs w:val="24"/>
        </w:rPr>
        <w:t>QCAA</w:t>
      </w:r>
      <w:r>
        <w:rPr>
          <w:rFonts w:hint="eastAsia" w:ascii="Times New Roman" w:hAnsi="Times New Roman" w:eastAsia="宋体" w:cs="Times New Roman"/>
          <w:sz w:val="24"/>
          <w:szCs w:val="24"/>
        </w:rPr>
        <w:t>条款以外的原因而暂停自动交换信息或以其他方式始终无法交换国别报告。由于根据第</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条暂时停止交换信息符合相关的</w:t>
      </w:r>
      <w:r>
        <w:rPr>
          <w:rFonts w:ascii="Times New Roman" w:hAnsi="Times New Roman" w:eastAsia="宋体" w:cs="Times New Roman"/>
          <w:sz w:val="24"/>
          <w:szCs w:val="24"/>
        </w:rPr>
        <w:t>QCAA</w:t>
      </w:r>
      <w:r>
        <w:rPr>
          <w:rFonts w:hint="eastAsia" w:ascii="Times New Roman" w:hAnsi="Times New Roman" w:eastAsia="宋体" w:cs="Times New Roman"/>
          <w:sz w:val="24"/>
          <w:szCs w:val="24"/>
        </w:rPr>
        <w:t>的条款，这并不构成系统性失效。</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1.1.3 </w:t>
      </w:r>
      <w:r>
        <w:rPr>
          <w:rFonts w:hint="eastAsia" w:ascii="Times New Roman" w:hAnsi="Times New Roman" w:eastAsia="宋体" w:cs="Times New Roman"/>
          <w:b/>
          <w:sz w:val="24"/>
          <w:szCs w:val="24"/>
        </w:rPr>
        <w:t>意义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别报告指南的最新更新对于之前在实际运用中的模糊和漏洞问题进行了进一步清晰解释，有助于各管辖区税务机关以及各跨国集团对国别报告需要填报的信息有更明确的认知，为各管辖区税务机关以及各跨国集团提供了更多便利。</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1.2 </w:t>
      </w:r>
      <w:r>
        <w:rPr>
          <w:rFonts w:hint="eastAsia" w:ascii="Times New Roman" w:hAnsi="Times New Roman" w:eastAsia="宋体" w:cs="Times New Roman"/>
          <w:b/>
          <w:sz w:val="24"/>
          <w:szCs w:val="24"/>
        </w:rPr>
        <w:t>税收优惠政策最新审查结果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包容性框架成员在提供关于</w:t>
      </w:r>
      <w:r>
        <w:rPr>
          <w:rFonts w:ascii="Times New Roman" w:hAnsi="Times New Roman" w:eastAsia="宋体" w:cs="Times New Roman"/>
          <w:sz w:val="24"/>
          <w:szCs w:val="24"/>
        </w:rPr>
        <w:t>BEPS</w:t>
      </w:r>
      <w:r>
        <w:rPr>
          <w:rFonts w:hint="eastAsia" w:ascii="Times New Roman" w:hAnsi="Times New Roman" w:eastAsia="宋体" w:cs="Times New Roman"/>
          <w:sz w:val="24"/>
          <w:szCs w:val="24"/>
        </w:rPr>
        <w:t>第五项行动计划的国际标准方面继续取得进展。巴巴多斯的两个制度，即国际金融服务和外汇收入</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对于海外项目或服务的信贷被包容性框架通过的</w:t>
      </w:r>
      <w:r>
        <w:rPr>
          <w:rFonts w:ascii="Times New Roman" w:hAnsi="Times New Roman" w:eastAsia="宋体" w:cs="Times New Roman"/>
          <w:sz w:val="24"/>
          <w:szCs w:val="24"/>
        </w:rPr>
        <w:t>2017</w:t>
      </w:r>
      <w:r>
        <w:rPr>
          <w:rFonts w:hint="eastAsia" w:ascii="Times New Roman" w:hAnsi="Times New Roman" w:eastAsia="宋体" w:cs="Times New Roman"/>
          <w:sz w:val="24"/>
          <w:szCs w:val="24"/>
        </w:rPr>
        <w:t>年优惠制度进展报告认定为“潜在有害”。巴巴多斯在一份部长级信件中承诺在商定时限内根据</w:t>
      </w:r>
      <w:r>
        <w:rPr>
          <w:rFonts w:ascii="Times New Roman" w:hAnsi="Times New Roman" w:eastAsia="宋体" w:cs="Times New Roman"/>
          <w:sz w:val="24"/>
          <w:szCs w:val="24"/>
        </w:rPr>
        <w:t>FHTP</w:t>
      </w:r>
      <w:r>
        <w:rPr>
          <w:rFonts w:hint="eastAsia" w:ascii="Times New Roman" w:hAnsi="Times New Roman" w:eastAsia="宋体" w:cs="Times New Roman"/>
          <w:sz w:val="24"/>
          <w:szCs w:val="24"/>
        </w:rPr>
        <w:t>的标准修改这些制度。因此，包容性框架同意将这对两项优惠制度的认定结论更新为</w:t>
      </w:r>
      <w:r>
        <w:rPr>
          <w:rFonts w:ascii="Times New Roman" w:hAnsi="Times New Roman" w:eastAsia="宋体" w:cs="Times New Roman"/>
          <w:sz w:val="24"/>
          <w:szCs w:val="24"/>
        </w:rPr>
        <w:t>“</w:t>
      </w:r>
      <w:r>
        <w:rPr>
          <w:rFonts w:hint="eastAsia" w:ascii="Times New Roman" w:hAnsi="Times New Roman" w:eastAsia="宋体" w:cs="Times New Roman"/>
          <w:sz w:val="24"/>
          <w:szCs w:val="24"/>
        </w:rPr>
        <w:t>正在修改过程中</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FHTP</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2004</w:t>
      </w:r>
      <w:r>
        <w:rPr>
          <w:rFonts w:hint="eastAsia" w:ascii="Times New Roman" w:hAnsi="Times New Roman" w:eastAsia="宋体" w:cs="Times New Roman"/>
          <w:sz w:val="24"/>
          <w:szCs w:val="24"/>
        </w:rPr>
        <w:t>年进度报告中确定加拿大的国际金融中心（</w:t>
      </w:r>
      <w:r>
        <w:rPr>
          <w:rFonts w:ascii="Times New Roman" w:hAnsi="Times New Roman" w:eastAsia="宋体" w:cs="Times New Roman"/>
          <w:sz w:val="24"/>
          <w:szCs w:val="24"/>
        </w:rPr>
        <w:t>IBC</w:t>
      </w:r>
      <w:r>
        <w:rPr>
          <w:rFonts w:hint="eastAsia" w:ascii="Times New Roman" w:hAnsi="Times New Roman" w:eastAsia="宋体" w:cs="Times New Roman"/>
          <w:sz w:val="24"/>
          <w:szCs w:val="24"/>
        </w:rPr>
        <w:t>）制度“可能但并非实际上有害”。加拿大已经废除了</w:t>
      </w:r>
      <w:r>
        <w:rPr>
          <w:rFonts w:ascii="Times New Roman" w:hAnsi="Times New Roman" w:eastAsia="宋体" w:cs="Times New Roman"/>
          <w:sz w:val="24"/>
          <w:szCs w:val="24"/>
        </w:rPr>
        <w:t>IBC</w:t>
      </w:r>
      <w:r>
        <w:rPr>
          <w:rFonts w:hint="eastAsia" w:ascii="Times New Roman" w:hAnsi="Times New Roman" w:eastAsia="宋体" w:cs="Times New Roman"/>
          <w:sz w:val="24"/>
          <w:szCs w:val="24"/>
        </w:rPr>
        <w:t>制度，受限制的祖父条款（</w:t>
      </w:r>
      <w:r>
        <w:rPr>
          <w:rFonts w:ascii="Times New Roman" w:hAnsi="Times New Roman" w:eastAsia="宋体" w:cs="Times New Roman"/>
          <w:sz w:val="24"/>
          <w:szCs w:val="24"/>
        </w:rPr>
        <w:t>limited grandfathering）</w:t>
      </w:r>
      <w:r>
        <w:rPr>
          <w:rFonts w:hint="eastAsia" w:ascii="Times New Roman" w:hAnsi="Times New Roman" w:eastAsia="宋体" w:cs="Times New Roman"/>
          <w:sz w:val="24"/>
          <w:szCs w:val="24"/>
        </w:rPr>
        <w:t>符合</w:t>
      </w:r>
      <w:r>
        <w:rPr>
          <w:rFonts w:ascii="Times New Roman" w:hAnsi="Times New Roman" w:eastAsia="宋体" w:cs="Times New Roman"/>
          <w:sz w:val="24"/>
          <w:szCs w:val="24"/>
        </w:rPr>
        <w:t>FHTP</w:t>
      </w:r>
      <w:r>
        <w:rPr>
          <w:rFonts w:hint="eastAsia" w:ascii="Times New Roman" w:hAnsi="Times New Roman" w:eastAsia="宋体" w:cs="Times New Roman"/>
          <w:sz w:val="24"/>
          <w:szCs w:val="24"/>
        </w:rPr>
        <w:t>的指导原则，因此对该制度的认定结论更新为“废止”。</w:t>
      </w:r>
    </w:p>
    <w:p>
      <w:pPr>
        <w:pStyle w:val="2"/>
        <w:widowControl/>
        <w:numPr>
          <w:ilvl w:val="0"/>
          <w:numId w:val="1"/>
        </w:numPr>
        <w:adjustRightInd w:val="0"/>
        <w:snapToGrid w:val="0"/>
        <w:spacing w:before="312" w:beforeLines="100" w:after="312" w:afterLines="100" w:line="360" w:lineRule="auto"/>
        <w:ind w:left="482" w:hanging="482"/>
        <w:jc w:val="left"/>
        <w:rPr>
          <w:rFonts w:ascii="Times New Roman" w:hAnsi="Times New Roman" w:eastAsia="宋体" w:cs="Times New Roman"/>
          <w:sz w:val="24"/>
          <w:szCs w:val="24"/>
        </w:rPr>
      </w:pPr>
      <w:bookmarkStart w:id="3" w:name="_Toc508920509"/>
      <w:r>
        <w:rPr>
          <w:rFonts w:hint="eastAsia" w:ascii="Times New Roman" w:hAnsi="Times New Roman" w:eastAsia="宋体" w:cs="Times New Roman"/>
          <w:sz w:val="24"/>
          <w:szCs w:val="24"/>
        </w:rPr>
        <w:t>信息交换栏目</w:t>
      </w:r>
      <w:bookmarkEnd w:id="3"/>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4" w:name="_Toc508920510"/>
      <w:r>
        <w:rPr>
          <w:rFonts w:ascii="Times New Roman" w:hAnsi="Times New Roman" w:eastAsia="宋体" w:cs="Times New Roman"/>
          <w:b/>
          <w:kern w:val="0"/>
          <w:sz w:val="24"/>
          <w:szCs w:val="24"/>
        </w:rPr>
        <w:t>2.</w:t>
      </w:r>
      <w:r>
        <w:rPr>
          <w:rFonts w:hint="eastAsia" w:ascii="Times New Roman" w:hAnsi="Times New Roman" w:eastAsia="宋体" w:cs="Times New Roman"/>
          <w:b/>
          <w:kern w:val="0"/>
          <w:sz w:val="24"/>
          <w:szCs w:val="24"/>
        </w:rPr>
        <w:t xml:space="preserve"> </w:t>
      </w:r>
      <w:r>
        <w:rPr>
          <w:rFonts w:ascii="Times New Roman" w:hAnsi="Times New Roman" w:eastAsia="宋体" w:cs="Times New Roman"/>
          <w:b/>
          <w:kern w:val="0"/>
          <w:sz w:val="24"/>
          <w:szCs w:val="24"/>
        </w:rPr>
        <w:t>OECD</w:t>
      </w:r>
      <w:r>
        <w:rPr>
          <w:rFonts w:hint="eastAsia" w:ascii="Times New Roman" w:hAnsi="Times New Roman" w:eastAsia="宋体" w:cs="Times New Roman"/>
          <w:b/>
          <w:kern w:val="0"/>
          <w:sz w:val="24"/>
          <w:szCs w:val="24"/>
        </w:rPr>
        <w:t>发布关于防止滥用投资移民计划规避</w:t>
      </w:r>
      <w:r>
        <w:rPr>
          <w:rFonts w:ascii="Times New Roman" w:hAnsi="Times New Roman" w:eastAsia="宋体" w:cs="Times New Roman"/>
          <w:b/>
          <w:kern w:val="0"/>
          <w:sz w:val="24"/>
          <w:szCs w:val="24"/>
        </w:rPr>
        <w:t>CRS</w:t>
      </w:r>
      <w:r>
        <w:rPr>
          <w:rFonts w:hint="eastAsia" w:ascii="Times New Roman" w:hAnsi="Times New Roman" w:eastAsia="宋体" w:cs="Times New Roman"/>
          <w:b/>
          <w:kern w:val="0"/>
          <w:sz w:val="24"/>
          <w:szCs w:val="24"/>
        </w:rPr>
        <w:t>信息交换的咨询文件</w:t>
      </w:r>
      <w:r>
        <w:rPr>
          <w:rFonts w:ascii="Times New Roman" w:hAnsi="Times New Roman" w:eastAsia="宋体" w:cs="Times New Roman"/>
          <w:b/>
          <w:kern w:val="0"/>
          <w:sz w:val="24"/>
          <w:szCs w:val="24"/>
          <w:vertAlign w:val="superscript"/>
        </w:rPr>
        <w:footnoteReference w:id="1"/>
      </w:r>
      <w:bookmarkEnd w:id="4"/>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19</w:t>
      </w:r>
      <w:r>
        <w:rPr>
          <w:rFonts w:hint="eastAsia" w:ascii="Times New Roman" w:hAnsi="Times New Roman" w:eastAsia="宋体" w:cs="Times New Roman"/>
          <w:sz w:val="24"/>
          <w:szCs w:val="24"/>
        </w:rPr>
        <w:t>日，</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发布关于防止滥用投资移民计划规避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信息交换的咨询文件，向公众及利益相关方征求意见，以出台进一步措施打击滥用投资移民计划规避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信息交换的行为。</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2.1 </w:t>
      </w:r>
      <w:r>
        <w:rPr>
          <w:rFonts w:hint="eastAsia" w:ascii="Times New Roman" w:hAnsi="Times New Roman" w:eastAsia="宋体" w:cs="Times New Roman"/>
          <w:b/>
          <w:sz w:val="24"/>
          <w:szCs w:val="24"/>
        </w:rPr>
        <w:t>背景</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为吸引别国资金和人才，越来越多的国家和地区推出了“投资居住权”（</w:t>
      </w:r>
      <w:r>
        <w:rPr>
          <w:rFonts w:ascii="Times New Roman" w:hAnsi="Times New Roman" w:eastAsia="宋体" w:cs="Times New Roman"/>
          <w:sz w:val="24"/>
          <w:szCs w:val="24"/>
        </w:rPr>
        <w:t>RBI ,residence by investment</w:t>
      </w:r>
      <w:r>
        <w:rPr>
          <w:rFonts w:hint="eastAsia" w:ascii="Times New Roman" w:hAnsi="Times New Roman" w:eastAsia="宋体" w:cs="Times New Roman"/>
          <w:sz w:val="24"/>
          <w:szCs w:val="24"/>
        </w:rPr>
        <w:t>）或“投资公民权”（</w:t>
      </w:r>
      <w:r>
        <w:rPr>
          <w:rFonts w:ascii="Times New Roman" w:hAnsi="Times New Roman" w:eastAsia="宋体" w:cs="Times New Roman"/>
          <w:sz w:val="24"/>
          <w:szCs w:val="24"/>
        </w:rPr>
        <w:t>CBI,citizenship by investment</w:t>
      </w:r>
      <w:r>
        <w:rPr>
          <w:rFonts w:hint="eastAsia" w:ascii="Times New Roman" w:hAnsi="Times New Roman" w:eastAsia="宋体" w:cs="Times New Roman"/>
          <w:sz w:val="24"/>
          <w:szCs w:val="24"/>
        </w:rPr>
        <w:t>）的计划。这些计划允许外籍自然人通过在当地进行投资或者支付非固定费用的方式，获取国籍或者临时</w:t>
      </w:r>
      <w:r>
        <w:rPr>
          <w:rFonts w:ascii="Times New Roman" w:hAnsi="Times New Roman" w:eastAsia="宋体" w:cs="Times New Roman"/>
          <w:sz w:val="24"/>
          <w:szCs w:val="24"/>
        </w:rPr>
        <w:t>/</w:t>
      </w:r>
      <w:r>
        <w:rPr>
          <w:rFonts w:hint="eastAsia" w:ascii="Times New Roman" w:hAnsi="Times New Roman" w:eastAsia="宋体" w:cs="Times New Roman"/>
          <w:sz w:val="24"/>
          <w:szCs w:val="24"/>
        </w:rPr>
        <w:t>永久居留权。外籍自然人基于免签旅行、子女的良好教育、寻求更好的投资和工作机遇以及更加稳定的政治生活环境等原因对这些计划青睐有加。与此同时，这些计划也为洗钱者和逃税者打开了后门。从市场以及</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举报平台的数据来看，滥用投资移民计划规避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的情形正愈演愈烈。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全球金融账户涉税信息自动交换（</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w:t>
      </w:r>
      <w:r>
        <w:rPr>
          <w:rFonts w:ascii="Times New Roman" w:hAnsi="Times New Roman" w:eastAsia="宋体" w:cs="Times New Roman"/>
          <w:sz w:val="24"/>
          <w:szCs w:val="24"/>
        </w:rPr>
        <w:t>Common Reporting Standard</w:t>
      </w:r>
      <w:r>
        <w:rPr>
          <w:rFonts w:hint="eastAsia" w:ascii="Times New Roman" w:hAnsi="Times New Roman" w:eastAsia="宋体" w:cs="Times New Roman"/>
          <w:sz w:val="24"/>
          <w:szCs w:val="24"/>
        </w:rPr>
        <w:t>）的核心就是要实现跨国间税收居民之金融账户信息透明化，而其运作的基础就是账户持有人的税收居民身份。尽管二十国集团（</w:t>
      </w:r>
      <w:r>
        <w:rPr>
          <w:rFonts w:ascii="Times New Roman" w:hAnsi="Times New Roman" w:eastAsia="宋体" w:cs="Times New Roman"/>
          <w:sz w:val="24"/>
          <w:szCs w:val="24"/>
        </w:rPr>
        <w:t>G20</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的理想是实现“人类大同”，以求全世界的国家都加入到</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的反避税、反洗钱和反腐败的网络中，让逃税者、洗钱者和腐败分子的资产无处可藏。目前承诺实施</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的国家只有</w:t>
      </w:r>
      <w:r>
        <w:rPr>
          <w:rFonts w:ascii="Times New Roman" w:hAnsi="Times New Roman" w:eastAsia="宋体" w:cs="Times New Roman"/>
          <w:sz w:val="24"/>
          <w:szCs w:val="24"/>
        </w:rPr>
        <w:t>100</w:t>
      </w:r>
      <w:r>
        <w:rPr>
          <w:rFonts w:hint="eastAsia" w:ascii="Times New Roman" w:hAnsi="Times New Roman" w:eastAsia="宋体" w:cs="Times New Roman"/>
          <w:sz w:val="24"/>
          <w:szCs w:val="24"/>
        </w:rPr>
        <w:t>个，也就是说，世界上还有一多半的国家和地区没有加入</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网络，因此，</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的全球性落地实施才刚刚开始。</w:t>
      </w:r>
      <w:r>
        <w:rPr>
          <w:rFonts w:ascii="Times New Roman" w:hAnsi="Times New Roman" w:eastAsia="宋体" w:cs="Times New Roman"/>
          <w:sz w:val="24"/>
          <w:szCs w:val="24"/>
          <w:vertAlign w:val="superscript"/>
        </w:rPr>
        <w:footnoteReference w:id="2"/>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2.2 </w:t>
      </w:r>
      <w:r>
        <w:rPr>
          <w:rFonts w:hint="eastAsia" w:ascii="Times New Roman" w:hAnsi="Times New Roman" w:eastAsia="宋体" w:cs="Times New Roman"/>
          <w:b/>
          <w:sz w:val="24"/>
          <w:szCs w:val="24"/>
        </w:rPr>
        <w:t>内容</w:t>
      </w:r>
      <w:r>
        <w:rPr>
          <w:rFonts w:ascii="Times New Roman" w:hAnsi="Times New Roman" w:eastAsia="宋体" w:cs="Times New Roman"/>
          <w:b/>
          <w:sz w:val="24"/>
          <w:szCs w:val="24"/>
          <w:vertAlign w:val="superscript"/>
        </w:rPr>
        <w:footnoteReference w:id="3"/>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OECD</w:t>
      </w:r>
      <w:r>
        <w:rPr>
          <w:rFonts w:hint="eastAsia" w:ascii="Times New Roman" w:hAnsi="Times New Roman" w:eastAsia="宋体" w:cs="Times New Roman"/>
          <w:sz w:val="24"/>
          <w:szCs w:val="24"/>
        </w:rPr>
        <w:t>正在密切关注滥用投资移民计划这一问题，并将其作为</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漏洞解决方案的一部分。这份咨询文件的主要内容分为四个板块：（</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）利用投资移民计划规避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的方式；（</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）界定了存在高风险的计划类型；（</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）提醒利益相关方注意，正确实施</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尽职调查程序的重要性；以及（</w:t>
      </w:r>
      <w:r>
        <w:rPr>
          <w:rFonts w:ascii="Times New Roman" w:hAnsi="Times New Roman" w:eastAsia="宋体" w:cs="Times New Roman"/>
          <w:sz w:val="24"/>
          <w:szCs w:val="24"/>
        </w:rPr>
        <w:t>4</w:t>
      </w:r>
      <w:r>
        <w:rPr>
          <w:rFonts w:hint="eastAsia" w:ascii="Times New Roman" w:hAnsi="Times New Roman" w:eastAsia="宋体" w:cs="Times New Roman"/>
          <w:sz w:val="24"/>
          <w:szCs w:val="24"/>
        </w:rPr>
        <w:t>）说明</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将采取的后续措施。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无论是在进一步获取滥用投资移民计划的证据方面，还是在有效防止上述计划滥用的措施方面，</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都希望能够寻求公众的协助，以此作为出台下一步规制措施的基础。在</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19</w:t>
      </w:r>
      <w:r>
        <w:rPr>
          <w:rFonts w:hint="eastAsia" w:ascii="Times New Roman" w:hAnsi="Times New Roman" w:eastAsia="宋体" w:cs="Times New Roman"/>
          <w:sz w:val="24"/>
          <w:szCs w:val="24"/>
        </w:rPr>
        <w:t>日之前，感兴趣各方都可以对该咨询文件草案发表意见。请将意见以</w:t>
      </w:r>
      <w:r>
        <w:rPr>
          <w:rFonts w:ascii="Times New Roman" w:hAnsi="Times New Roman" w:eastAsia="宋体" w:cs="Times New Roman"/>
          <w:sz w:val="24"/>
          <w:szCs w:val="24"/>
        </w:rPr>
        <w:t>Word</w:t>
      </w:r>
      <w:r>
        <w:rPr>
          <w:rFonts w:hint="eastAsia" w:ascii="Times New Roman" w:hAnsi="Times New Roman" w:eastAsia="宋体" w:cs="Times New Roman"/>
          <w:sz w:val="24"/>
          <w:szCs w:val="24"/>
        </w:rPr>
        <w:t>格式（以便转发至政府官员处）发送邮件至</w:t>
      </w:r>
      <w:r>
        <w:rPr>
          <w:rFonts w:ascii="Times New Roman" w:hAnsi="Times New Roman" w:eastAsia="宋体" w:cs="Times New Roman"/>
          <w:sz w:val="24"/>
          <w:szCs w:val="24"/>
        </w:rPr>
        <w:t>CRS.Consultation@oecd.org</w:t>
      </w:r>
      <w:r>
        <w:rPr>
          <w:rFonts w:hint="eastAsia" w:ascii="Times New Roman" w:hAnsi="Times New Roman" w:eastAsia="宋体" w:cs="Times New Roman"/>
          <w:sz w:val="24"/>
          <w:szCs w:val="24"/>
        </w:rPr>
        <w:t>。这些意见将会被汇总至</w:t>
      </w:r>
      <w:r>
        <w:rPr>
          <w:rFonts w:ascii="Times New Roman" w:hAnsi="Times New Roman" w:eastAsia="宋体" w:cs="Times New Roman"/>
          <w:sz w:val="24"/>
          <w:szCs w:val="24"/>
        </w:rPr>
        <w:t>OECD/CTPA</w:t>
      </w:r>
      <w:r>
        <w:rPr>
          <w:rFonts w:hint="eastAsia" w:ascii="Times New Roman" w:hAnsi="Times New Roman" w:eastAsia="宋体" w:cs="Times New Roman"/>
          <w:sz w:val="24"/>
          <w:szCs w:val="24"/>
        </w:rPr>
        <w:t>的国际合作和税务行政部门。超过十页的意见应同时附上不多于两页的内容概要。</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）利用投资移民计划规避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的方式</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CRS</w:t>
      </w:r>
      <w:r>
        <w:rPr>
          <w:rFonts w:hint="eastAsia" w:ascii="Times New Roman" w:hAnsi="Times New Roman" w:eastAsia="宋体" w:cs="Times New Roman"/>
          <w:sz w:val="24"/>
          <w:szCs w:val="24"/>
        </w:rPr>
        <w:t>报告制度的的核心对象是税收居民身份，投资移民计划本身不提供脱离</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法定报告范围的方法，这些计划仅赋予了自然人在一国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地区的国籍或居住权，而非税收居民身份。即便自然人可以通过某些投资移民计划取得税收居民身份，也不会影响其在原税收居民国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地区的税收居民身份。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然而，投资移民计划仍有可能被利用从而规避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尽职调查程序。这会导致</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报告内容的不准确或不完整。比较典型的情形是，账户持有人所属的税收居民国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地区信息并未向金融机构进行完整披露。某自然人仅为了税务目的而声称是某国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地区的税收居民，并不在该国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地区实际居住。其向金融账户所属金融机构提供了支持性的书面证据（比如，居住证明、身份证、护照和第二套房的水电费账单）。</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）高风险的投资移民计划</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高风险的投资移民计划对实际居住没有限制或仅有有限限制，并且不对是否实际居住进行检查；该投资移民计划的实施方为：（</w:t>
      </w:r>
      <w:r>
        <w:rPr>
          <w:rFonts w:ascii="Times New Roman" w:hAnsi="Times New Roman" w:eastAsia="宋体" w:cs="Times New Roman"/>
          <w:sz w:val="24"/>
          <w:szCs w:val="24"/>
        </w:rPr>
        <w:t>i</w:t>
      </w:r>
      <w:r>
        <w:rPr>
          <w:rFonts w:hint="eastAsia" w:ascii="Times New Roman" w:hAnsi="Times New Roman" w:eastAsia="宋体" w:cs="Times New Roman"/>
          <w:sz w:val="24"/>
          <w:szCs w:val="24"/>
        </w:rPr>
        <w:t>）低税率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零税率国家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w:t>
      </w:r>
      <w:r>
        <w:rPr>
          <w:rFonts w:ascii="Times New Roman" w:hAnsi="Times New Roman" w:eastAsia="宋体" w:cs="Times New Roman"/>
          <w:sz w:val="24"/>
          <w:szCs w:val="24"/>
        </w:rPr>
        <w:t>ii</w:t>
      </w:r>
      <w:r>
        <w:rPr>
          <w:rFonts w:hint="eastAsia" w:ascii="Times New Roman" w:hAnsi="Times New Roman" w:eastAsia="宋体" w:cs="Times New Roman"/>
          <w:sz w:val="24"/>
          <w:szCs w:val="24"/>
        </w:rPr>
        <w:t>）豁免境外所得的国家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w:t>
      </w:r>
      <w:r>
        <w:rPr>
          <w:rFonts w:ascii="Times New Roman" w:hAnsi="Times New Roman" w:eastAsia="宋体" w:cs="Times New Roman"/>
          <w:sz w:val="24"/>
          <w:szCs w:val="24"/>
        </w:rPr>
        <w:t>iii</w:t>
      </w:r>
      <w:r>
        <w:rPr>
          <w:rFonts w:hint="eastAsia" w:ascii="Times New Roman" w:hAnsi="Times New Roman" w:eastAsia="宋体" w:cs="Times New Roman"/>
          <w:sz w:val="24"/>
          <w:szCs w:val="24"/>
        </w:rPr>
        <w:t>）对通过投资移民计划获得居住权的外国自然人适用特别税收规则的国家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w:t>
      </w:r>
      <w:r>
        <w:rPr>
          <w:rFonts w:ascii="Times New Roman" w:hAnsi="Times New Roman" w:eastAsia="宋体" w:cs="Times New Roman"/>
          <w:sz w:val="24"/>
          <w:szCs w:val="24"/>
        </w:rPr>
        <w:t>iv</w:t>
      </w:r>
      <w:r>
        <w:rPr>
          <w:rFonts w:hint="eastAsia" w:ascii="Times New Roman" w:hAnsi="Times New Roman" w:eastAsia="宋体" w:cs="Times New Roman"/>
          <w:sz w:val="24"/>
          <w:szCs w:val="24"/>
        </w:rPr>
        <w:t>）不接收</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信息的国家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）正确实施现有</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尽职调查程序的重要性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通过正确实施现有</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尽职调查程序可以避免很多滥用投资移民计划来规避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的情况，包括：通过实施居住地址规则来确认账户持有人拥有真实、永久的实际居住地址（不包括邮政信箱或转交地址），且必须有相应的书面证据；要求帐户持有人在其自证证明中完整披露其所属的税收居民国</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地区；如果金融机构查核到或者能查核到自证证明或者书面证据不可靠、不正确或不完整时，则不能依靠该自证证明或书面证据。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）打击滥用投资移民计划而可能采取的额外措施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根据上述列明的风险因素正在整理一份高风险投资移民计划清单，以提醒利益相关方注意此类计划可能会被用于规避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尽职调查和报告要求。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此外，</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于</w:t>
      </w:r>
      <w:r>
        <w:rPr>
          <w:rFonts w:ascii="Times New Roman" w:hAnsi="Times New Roman" w:eastAsia="宋体" w:cs="Times New Roman"/>
          <w:sz w:val="24"/>
          <w:szCs w:val="24"/>
        </w:rPr>
        <w:t>2017</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日发布了一份咨询文件，就强制性披露规则范本（要求披露规避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的安排以及离岸架构）征询利益相关方意见。该规则要求发起人和其他中介机构披露有合理理由认定会产生规避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申报的安排。采用该强制性披露规则将会对规避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申报的投资移民计划的推广产生威慑作用，并向相关主管税务机关提供规避</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的信息（诸如此类投资移民计划）。</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除上述情况外，</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正在考虑采取一系列其他方法对投资移民计划的滥用进行规制，这将包括税收遵从和税收政策在内的相关措施，也将会考虑所涉利益相关者在其中的可能角色，包括提供这类投资移民计划的国家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地区、参与</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信息交换国家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地区的税务机关、在</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下有报告义务的金融机构、中介机构、以及纳税人。</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2.3 </w:t>
      </w:r>
      <w:r>
        <w:rPr>
          <w:rFonts w:hint="eastAsia" w:ascii="Times New Roman" w:hAnsi="Times New Roman" w:eastAsia="宋体" w:cs="Times New Roman"/>
          <w:b/>
          <w:sz w:val="24"/>
          <w:szCs w:val="24"/>
        </w:rPr>
        <w:t>意义</w:t>
      </w:r>
      <w:r>
        <w:rPr>
          <w:rFonts w:ascii="Times New Roman" w:hAnsi="Times New Roman" w:eastAsia="宋体" w:cs="Times New Roman"/>
          <w:b/>
          <w:sz w:val="24"/>
          <w:szCs w:val="24"/>
          <w:vertAlign w:val="superscript"/>
        </w:rPr>
        <w:footnoteReference w:id="4"/>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CRS</w:t>
      </w:r>
      <w:r>
        <w:rPr>
          <w:rFonts w:hint="eastAsia" w:ascii="Times New Roman" w:hAnsi="Times New Roman" w:eastAsia="宋体" w:cs="Times New Roman"/>
          <w:sz w:val="24"/>
          <w:szCs w:val="24"/>
        </w:rPr>
        <w:t>涉税信息在全世界的工作势不可挡，越来越多的国家和地区加入这样的全球反避税网络，越来越多的国家签署目前最为通行的</w:t>
      </w:r>
      <w:r>
        <w:rPr>
          <w:rFonts w:ascii="Times New Roman" w:hAnsi="Times New Roman" w:eastAsia="宋体" w:cs="Times New Roman"/>
          <w:sz w:val="24"/>
          <w:szCs w:val="24"/>
        </w:rPr>
        <w:t>CRS</w:t>
      </w:r>
      <w:r>
        <w:rPr>
          <w:rFonts w:hint="eastAsia" w:ascii="Times New Roman" w:hAnsi="Times New Roman" w:eastAsia="宋体" w:cs="Times New Roman"/>
          <w:sz w:val="24"/>
          <w:szCs w:val="24"/>
        </w:rPr>
        <w:t>交换协议</w:t>
      </w:r>
      <w:r>
        <w:rPr>
          <w:rFonts w:ascii="Times New Roman" w:hAnsi="Times New Roman" w:eastAsia="宋体" w:cs="Times New Roman"/>
          <w:sz w:val="24"/>
          <w:szCs w:val="24"/>
        </w:rPr>
        <w:t>MCAA</w:t>
      </w:r>
      <w:r>
        <w:rPr>
          <w:rFonts w:hint="eastAsia" w:ascii="Times New Roman" w:hAnsi="Times New Roman" w:eastAsia="宋体" w:cs="Times New Roman"/>
          <w:sz w:val="24"/>
          <w:szCs w:val="24"/>
        </w:rPr>
        <w:t>。到目前为止，世界经合组织已经有超过</w:t>
      </w:r>
      <w:r>
        <w:rPr>
          <w:rFonts w:ascii="Times New Roman" w:hAnsi="Times New Roman" w:eastAsia="宋体" w:cs="Times New Roman"/>
          <w:sz w:val="24"/>
          <w:szCs w:val="24"/>
        </w:rPr>
        <w:t>2000</w:t>
      </w:r>
      <w:r>
        <w:rPr>
          <w:rFonts w:hint="eastAsia" w:ascii="Times New Roman" w:hAnsi="Times New Roman" w:eastAsia="宋体" w:cs="Times New Roman"/>
          <w:sz w:val="24"/>
          <w:szCs w:val="24"/>
        </w:rPr>
        <w:t>多份双边交换的协议签署和激活，全球反避税的步伐越来越快，越来越稳。毫无疑问，首批</w:t>
      </w:r>
      <w:r>
        <w:rPr>
          <w:rFonts w:ascii="Times New Roman" w:hAnsi="Times New Roman" w:eastAsia="宋体" w:cs="Times New Roman"/>
          <w:sz w:val="24"/>
          <w:szCs w:val="24"/>
        </w:rPr>
        <w:t>49</w:t>
      </w:r>
      <w:r>
        <w:rPr>
          <w:rFonts w:hint="eastAsia" w:ascii="Times New Roman" w:hAnsi="Times New Roman" w:eastAsia="宋体" w:cs="Times New Roman"/>
          <w:sz w:val="24"/>
          <w:szCs w:val="24"/>
        </w:rPr>
        <w:t>个国家的涉税信息自动交换将成为全球反避税进程的里程碑，参与国将会在国际税收管理合作的道路上奋勇前进。</w:t>
      </w:r>
    </w:p>
    <w:p>
      <w:pPr>
        <w:pStyle w:val="2"/>
        <w:widowControl/>
        <w:numPr>
          <w:ilvl w:val="0"/>
          <w:numId w:val="1"/>
        </w:numPr>
        <w:adjustRightInd w:val="0"/>
        <w:snapToGrid w:val="0"/>
        <w:spacing w:before="312" w:beforeLines="100" w:after="312" w:afterLines="100" w:line="360" w:lineRule="auto"/>
        <w:ind w:left="482" w:hanging="482"/>
        <w:jc w:val="left"/>
        <w:rPr>
          <w:rFonts w:ascii="Times New Roman" w:hAnsi="Times New Roman" w:eastAsia="宋体" w:cs="Times New Roman"/>
          <w:sz w:val="24"/>
          <w:szCs w:val="24"/>
        </w:rPr>
      </w:pPr>
      <w:bookmarkStart w:id="5" w:name="_Toc508920511"/>
      <w:r>
        <w:rPr>
          <w:rFonts w:hint="eastAsia" w:ascii="Times New Roman" w:hAnsi="Times New Roman" w:eastAsia="宋体" w:cs="Times New Roman"/>
          <w:sz w:val="24"/>
          <w:szCs w:val="24"/>
        </w:rPr>
        <w:t>全球税务关系栏目</w:t>
      </w:r>
      <w:bookmarkEnd w:id="5"/>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6" w:name="_Toc508920512"/>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 xml:space="preserve"> 主要国际组织共同倡导各国加强税收制度建设，实现可持续发展目标</w:t>
      </w:r>
      <w:r>
        <w:rPr>
          <w:rFonts w:ascii="Times New Roman" w:hAnsi="Times New Roman" w:eastAsia="宋体" w:cs="Times New Roman"/>
          <w:b/>
          <w:kern w:val="0"/>
          <w:sz w:val="24"/>
          <w:szCs w:val="24"/>
          <w:vertAlign w:val="superscript"/>
        </w:rPr>
        <w:footnoteReference w:id="5"/>
      </w:r>
      <w:bookmarkEnd w:id="6"/>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2018年2月14日—16日，首届税收合作平台全球会议在联合国总部召开，此次会议为期三天，主题为“税收与可持续发展目标”，约450名来自世界各国税收政策与征管部门的高级官员以及重要国际组织、学术界、经济界和民间组织代表参加了大会，围绕税收如何推动可持续发展目标实现展开讨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这次会议的组织方为税收合作平台（PCT，</w:t>
      </w:r>
      <w:r>
        <w:rPr>
          <w:rFonts w:ascii="Times New Roman" w:hAnsi="Times New Roman" w:eastAsia="宋体" w:cs="Times New Roman"/>
          <w:sz w:val="24"/>
          <w:szCs w:val="24"/>
        </w:rPr>
        <w:t>Platform for Collaboration on Tax</w:t>
      </w:r>
      <w:r>
        <w:rPr>
          <w:rFonts w:hint="eastAsia" w:ascii="Times New Roman" w:hAnsi="Times New Roman" w:eastAsia="宋体" w:cs="Times New Roman"/>
          <w:sz w:val="24"/>
          <w:szCs w:val="24"/>
        </w:rPr>
        <w:t>），税收合作平台由国际货币基金组织、经济合作与发展组织、联合国和世界银行等国际机构联合发起成立。</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3.1 会议召开背景</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国内收入调动和税收征管能力建设是发展中国家在完善税收制度时的重点。过去15年，低收入国家在调动税收方面进步明显，平均而言，税收占国内生产总值的比例上升了约5个百分点，达到了接近15％。15％被认为是支持发展的最低必要水平，尽管低收入国家的平均水平达到了这一标准，仍有近一半的低收入国家未达到15％，。此外，许多形式的税收竞争政策，特别是通过免税和激励措施来吸引投资削弱了税收收入的实现。与此同时，发展中国家针对税收发展开展了多样化的税收征管能力建设计划，借助于国际税收合作平台，发展中国家现在可以依靠更加先进和完善的工具来开展税收征管活动，例如BEPS项目等。尽管如此，由于发展中国家的税收征管能力限制，依然面临着诸多挑战。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近年来，国际税收改革、税收征管能力建设成为历届G20峰会公报的重要内容。2016年2月，G20财长与央行行长会议发布联合公报，国际货币基金组织、经济合作与发展组织、联合国和世界银行联合建立税收合作平台，呼吁建立有效的税收机制，这对于促进更具包容性的经济增长和实现可持续发展目标至关重要，更是实现全球化的基础。</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.2 </w:t>
      </w:r>
      <w:r>
        <w:rPr>
          <w:rFonts w:hint="eastAsia" w:ascii="Times New Roman" w:hAnsi="Times New Roman" w:eastAsia="宋体" w:cs="Times New Roman"/>
          <w:b/>
          <w:sz w:val="24"/>
          <w:szCs w:val="24"/>
        </w:rPr>
        <w:t>会议主要内容</w:t>
      </w:r>
      <w:r>
        <w:rPr>
          <w:rFonts w:hint="eastAsia" w:ascii="Times New Roman" w:hAnsi="Times New Roman" w:eastAsia="宋体" w:cs="Times New Roman"/>
          <w:b/>
          <w:sz w:val="24"/>
          <w:szCs w:val="24"/>
          <w:vertAlign w:val="superscript"/>
        </w:rPr>
        <w:footnoteReference w:id="6"/>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1 </w:t>
      </w:r>
      <w:r>
        <w:rPr>
          <w:rFonts w:hint="eastAsia" w:ascii="Times New Roman" w:hAnsi="Times New Roman" w:eastAsia="宋体" w:cs="Times New Roman"/>
          <w:b/>
          <w:sz w:val="24"/>
          <w:szCs w:val="24"/>
        </w:rPr>
        <w:t>会议主题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为期三天的第一届税收合作平台全球大会围绕如何将税收作为政策工具用以实现可持续发展目标展开讨论，主要涵盖五个专题领域：国内资源流通和保持；税收对实现可持续经济、投资和贸易增长的作用；利用税收促进可持续发展目标实施过程中面临的机遇和挑战（贫困、不平等和人类发展）；税收征管能力发展；税务合作。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与会各国代表围绕如何通过优化税收政策的制定和实施推动解决贫困问题展开热烈讨论。国内收入调动（DRM，Domestic Revenue Mobilization）日益成为国家发展计划的主要资金来源。然而，DRM管理仍然是许多政府面临的挑战，特别是在严重依赖挥发性自然资源收入的低收入国家，会议就国际税收竞争日益激烈以及如何平衡税收政策与经济增长的关系展开深入分析。</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打造“智慧型税收”是与会代表关注的另一热点问题。随着经济全球化深入发展，新经济、新业态等对传统国际税收规则和各国税收管理形成了挑战，“智慧型税收”建设是提高各国税收征管能力的有效途径。近年来，中国税务部门不断创新税收征管手段，很多领域走在了世界前列。2016年金税三期工程全面上线、增值税发票管理新系统全面推广和“互联网+税务”行动计划等税收发展使得中国在信息管税、防范风险、优化服务和辅助决策中发挥了越来越好的作用，提升了税收工作的信息化水平。</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2 </w:t>
      </w:r>
      <w:r>
        <w:rPr>
          <w:rFonts w:hint="eastAsia" w:ascii="Times New Roman" w:hAnsi="Times New Roman" w:eastAsia="宋体" w:cs="Times New Roman"/>
          <w:b/>
          <w:sz w:val="24"/>
          <w:szCs w:val="24"/>
        </w:rPr>
        <w:t>会议主要发言</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会议期间，众多组织代表也发表了他们的观点。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中国国家税务总局局长王军应邀作主旨发言，介绍中国税收在支持可持续发展方面的主要做法和经验。王军表示，中国愿同各国际组织、各国税务部门共同营造合作共赢的国际税收环境，促进全球可持续发展。</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非洲税收论坛执行秘书沃特认为，在脱贫过程中，中国的税收政策得到较好运用，值得很多发展中国家学习借鉴。</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联合国秘书长安东尼奥·古特雷斯呼吁国际社会建立有效机制打击逃税、洗钱和非法资金流动，以便发展中国家能够更好地调动自己的资源。</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世界银行集团总裁吉姆金称，公平和高效的税收制度，加上良好的服务和公共问责制，才能增强公民对政府的信任，实现社会繁荣。</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国际货币基金组织总裁克里斯蒂娜·拉加德认为为可持续发展目标提供资金是一项经济和道德义务，对税收有重大影响，各国本身需要以公平的方式增加收入，整个国际社会需要根除逃税和避税。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OECD税收政策与管理中心副主任佩雷斯·纳瓦罗在会议上表示：税收合作平台的建立，标志着四大国际组织在税收征管能力建设领域进一步深化务实合作。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际货币基金组织财政事务部主任加斯帕则指出，落后的征管手段是导致一些国家税基严重侵蚀的重要原因，各国有必要借鉴中国运用信息化手段提升税收征管能力的成功做法。他认为，除了通过信息化建设提高税收征管能力，各国还应更加重视国际税收合作，重构国际税收规则。</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.3 </w:t>
      </w:r>
      <w:r>
        <w:rPr>
          <w:rFonts w:hint="eastAsia" w:ascii="Times New Roman" w:hAnsi="Times New Roman" w:eastAsia="宋体" w:cs="Times New Roman"/>
          <w:b/>
          <w:sz w:val="24"/>
          <w:szCs w:val="24"/>
        </w:rPr>
        <w:t>意义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CRS信息自动交换，BEPS项目以及联合国税务委员会的积极参与等举措的出台，一个前所未有的国际税务合作时代正在开启。所有这些举措创造了增加发展中国家参与国际税收政策讨论和机构的新机会，同时也是充分实现国际税务合作效益的新机遇。本次会议以充满活力的全球税务对话为基础，旨在为各国和其他利益相关者提供指导，以便更好地实现税收目标和更广泛的可持续发展目标。同时，所有与会方见解将有助于完善PCT成员和合作伙伴的未来工作。</w:t>
      </w:r>
    </w:p>
    <w:p>
      <w:pPr>
        <w:pStyle w:val="2"/>
        <w:widowControl/>
        <w:numPr>
          <w:ilvl w:val="0"/>
          <w:numId w:val="1"/>
        </w:numPr>
        <w:adjustRightInd w:val="0"/>
        <w:snapToGrid w:val="0"/>
        <w:spacing w:before="312" w:beforeLines="100" w:after="312" w:afterLines="100" w:line="360" w:lineRule="auto"/>
        <w:ind w:left="482" w:hanging="482"/>
        <w:jc w:val="left"/>
        <w:rPr>
          <w:rFonts w:ascii="Times New Roman" w:hAnsi="Times New Roman" w:eastAsia="宋体" w:cs="Times New Roman"/>
          <w:sz w:val="24"/>
          <w:szCs w:val="24"/>
        </w:rPr>
      </w:pPr>
      <w:bookmarkStart w:id="7" w:name="_Toc508920513"/>
      <w:r>
        <w:rPr>
          <w:rFonts w:hint="eastAsia" w:ascii="Times New Roman" w:hAnsi="Times New Roman" w:eastAsia="宋体" w:cs="Times New Roman"/>
          <w:sz w:val="24"/>
          <w:szCs w:val="24"/>
        </w:rPr>
        <w:t>税收政策分析栏目</w:t>
      </w:r>
      <w:bookmarkEnd w:id="7"/>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8" w:name="_Toc508920514"/>
      <w:r>
        <w:rPr>
          <w:rFonts w:hint="eastAsia" w:ascii="Times New Roman" w:hAnsi="Times New Roman" w:eastAsia="宋体" w:cs="Times New Roman"/>
          <w:b/>
          <w:kern w:val="0"/>
          <w:sz w:val="24"/>
          <w:szCs w:val="24"/>
        </w:rPr>
        <w:t>4. OECD发布《能源使用税2018》提出政府应更好地利用能源税来应对气候变化</w:t>
      </w:r>
      <w:r>
        <w:rPr>
          <w:rFonts w:ascii="Times New Roman" w:hAnsi="Times New Roman" w:eastAsia="宋体" w:cs="Times New Roman"/>
          <w:b/>
          <w:kern w:val="0"/>
          <w:sz w:val="24"/>
          <w:szCs w:val="24"/>
          <w:vertAlign w:val="superscript"/>
        </w:rPr>
        <w:footnoteReference w:id="7"/>
      </w:r>
      <w:bookmarkEnd w:id="8"/>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018</w:t>
      </w:r>
      <w:r>
        <w:rPr>
          <w:rFonts w:hint="eastAsia" w:ascii="Times New Roman" w:hAnsi="Times New Roman" w:eastAsia="宋体" w:cs="Times New Roman"/>
          <w:sz w:val="24"/>
        </w:rPr>
        <w:t>年2月1</w:t>
      </w:r>
      <w:r>
        <w:rPr>
          <w:rFonts w:ascii="Times New Roman" w:hAnsi="Times New Roman" w:eastAsia="宋体" w:cs="Times New Roman"/>
          <w:sz w:val="24"/>
        </w:rPr>
        <w:t>4</w:t>
      </w:r>
      <w:r>
        <w:rPr>
          <w:rFonts w:hint="eastAsia" w:ascii="Times New Roman" w:hAnsi="Times New Roman" w:eastAsia="宋体" w:cs="Times New Roman"/>
          <w:sz w:val="24"/>
        </w:rPr>
        <w:t>日，OECD发布了一份新报告《能源使用税2</w:t>
      </w:r>
      <w:r>
        <w:rPr>
          <w:rFonts w:ascii="Times New Roman" w:hAnsi="Times New Roman" w:eastAsia="宋体" w:cs="Times New Roman"/>
          <w:sz w:val="24"/>
        </w:rPr>
        <w:t>018</w:t>
      </w:r>
      <w:r>
        <w:rPr>
          <w:rFonts w:hint="eastAsia" w:ascii="Times New Roman" w:hAnsi="Times New Roman" w:eastAsia="宋体" w:cs="Times New Roman"/>
          <w:sz w:val="24"/>
        </w:rPr>
        <w:t>》，提出税收有效减少能源使用中的有害排放，但政府可以更好地利用它们，政府更多地依靠能源税来加强努力，以针对温室气体排放和空气污染的主要来源进行控制。</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报告描述了2</w:t>
      </w:r>
      <w:r>
        <w:rPr>
          <w:rFonts w:ascii="Times New Roman" w:hAnsi="Times New Roman" w:eastAsia="宋体" w:cs="Times New Roman"/>
          <w:sz w:val="24"/>
        </w:rPr>
        <w:t>012-2015</w:t>
      </w:r>
      <w:r>
        <w:rPr>
          <w:rFonts w:hint="eastAsia" w:ascii="Times New Roman" w:hAnsi="Times New Roman" w:eastAsia="宋体" w:cs="Times New Roman"/>
          <w:sz w:val="24"/>
        </w:rPr>
        <w:t>年期间包括OECD和G20成员国在内共4</w:t>
      </w:r>
      <w:r>
        <w:rPr>
          <w:rFonts w:ascii="Times New Roman" w:hAnsi="Times New Roman" w:eastAsia="宋体" w:cs="Times New Roman"/>
          <w:sz w:val="24"/>
        </w:rPr>
        <w:t>2</w:t>
      </w:r>
      <w:r>
        <w:rPr>
          <w:rFonts w:hint="eastAsia" w:ascii="Times New Roman" w:hAnsi="Times New Roman" w:eastAsia="宋体" w:cs="Times New Roman"/>
          <w:sz w:val="24"/>
        </w:rPr>
        <w:t>个国家（约占全球能源使用的80％）的能源税收模式。新的数据显示，在能源消费的负面影响下，能源税的作用依然有限。税收只能对减少能源使用、提高能源效率并推动能源形式向无害化转变等提供有限的激励措施。</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 xml:space="preserve">.1 </w:t>
      </w:r>
      <w:r>
        <w:rPr>
          <w:rFonts w:hint="eastAsia" w:ascii="Times New Roman" w:hAnsi="Times New Roman" w:eastAsia="宋体" w:cs="Times New Roman"/>
          <w:b/>
          <w:sz w:val="24"/>
          <w:szCs w:val="24"/>
        </w:rPr>
        <w:t>文件发布背景</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能源使用造成的有害排放对环境和健康造成了损害，并且也导致乐气候的变化。通过税收来收取这些损失，能源使用税可以减少过度排放，同时提高可用于支持重要政府服务的收入，但是各国政府在这方面的努力还做得不够好。</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OECD秘书长安吉尔古里亚说：“比较2012年和2015年之间的税收会产生令人不安的结果。若干司法管辖区已经或正在采用‘污染者付费’原则，但是在更有效地使用税收减少有害排放方面，整体进展缓慢而零碎。政府应该做得更多，更好。”</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据报道，2015年，除公路运输外，81％的排放量未被征税。对于97％的排放，税率低于气候成本的最低估算值（30欧元/吨CO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有意义的税率增长主要限于道路行业。一些较大的中低收入经济体的燃油税改革已将高于气候成本的排放份额从2012年的46％增加到2015年的50％。令人鼓舞的是，一些国家正在取消对柴油征收比汽油更低的税率。然而，几乎所有国家的燃油税率仍远低于弥补非气候外部成本所需的水平。以高水平的有害排放和在</w:t>
      </w:r>
      <w:r>
        <w:rPr>
          <w:rFonts w:ascii="Times New Roman" w:hAnsi="Times New Roman" w:eastAsia="宋体" w:cs="Times New Roman"/>
          <w:sz w:val="24"/>
        </w:rPr>
        <w:t>42</w:t>
      </w:r>
      <w:r>
        <w:rPr>
          <w:rFonts w:hint="eastAsia" w:ascii="Times New Roman" w:hAnsi="Times New Roman" w:eastAsia="宋体" w:cs="Times New Roman"/>
          <w:sz w:val="24"/>
        </w:rPr>
        <w:t>个国家的能源使用量中几乎占一半为特征的煤炭，几乎在所有国家都以极低税率征</w:t>
      </w:r>
      <w:r>
        <w:rPr>
          <w:rFonts w:hint="eastAsia" w:ascii="MS Gothic" w:hAnsi="MS Gothic" w:eastAsia="MS Gothic" w:cs="MS Gothic"/>
          <w:sz w:val="24"/>
        </w:rPr>
        <w:t>​​</w:t>
      </w:r>
      <w:r>
        <w:rPr>
          <w:rFonts w:hint="eastAsia" w:ascii="宋体" w:hAnsi="宋体" w:eastAsia="宋体" w:cs="宋体"/>
          <w:sz w:val="24"/>
        </w:rPr>
        <w:t>税或完全免税。</w:t>
      </w:r>
      <w:r>
        <w:rPr>
          <w:rFonts w:hint="eastAsia" w:ascii="Times New Roman" w:hAnsi="Times New Roman" w:eastAsia="宋体" w:cs="Times New Roman"/>
          <w:sz w:val="24"/>
        </w:rPr>
        <w:t>虽然关于碳税的激烈辩论已经在一些国家引发了行动，但实际的碳税税率仍然很低。碳税的覆盖率从2015年的1％上升到6％，但碳税所覆盖的气候成本仅为排放量的0.3％。到目前为止，许可证主导了整体税率。</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世界各国政府已联手应对全球变暖。《巴黎协定》设定了一个明确的目标：将全球平均气温上升限制在2摄氏度以下。从现在开始，这需要大幅削减碳排放量。本报告中分析的碳税和其他特定的能源使用税可以将能源使用的气候和环境成本纳入价格。它们是应对气候变化所需政策不可或缺的组成部分，并有助于减少空气污染和能源使用的其他负面影响。</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 xml:space="preserve">.2 </w:t>
      </w:r>
      <w:r>
        <w:rPr>
          <w:rFonts w:hint="eastAsia" w:ascii="Times New Roman" w:hAnsi="Times New Roman" w:eastAsia="宋体" w:cs="Times New Roman"/>
          <w:b/>
          <w:sz w:val="24"/>
          <w:szCs w:val="24"/>
        </w:rPr>
        <w:t>文件内容</w:t>
      </w:r>
      <w:r>
        <w:rPr>
          <w:rFonts w:ascii="Times New Roman" w:hAnsi="Times New Roman" w:eastAsia="宋体" w:cs="Times New Roman"/>
          <w:b/>
          <w:sz w:val="24"/>
          <w:szCs w:val="24"/>
          <w:vertAlign w:val="superscript"/>
        </w:rPr>
        <w:footnoteReference w:id="8"/>
      </w:r>
    </w:p>
    <w:p>
      <w:pPr>
        <w:widowControl/>
        <w:spacing w:line="360" w:lineRule="auto"/>
        <w:outlineLvl w:val="3"/>
        <w:rPr>
          <w:rFonts w:ascii="Times New Roman" w:hAnsi="Times New Roman" w:eastAsia="宋体" w:cs="Times New Roman"/>
          <w:b/>
          <w:sz w:val="24"/>
        </w:rPr>
      </w:pPr>
      <w:r>
        <w:rPr>
          <w:rFonts w:hint="eastAsia" w:ascii="Times New Roman" w:hAnsi="Times New Roman" w:eastAsia="宋体" w:cs="Times New Roman"/>
          <w:b/>
          <w:sz w:val="24"/>
        </w:rPr>
        <w:t>4</w:t>
      </w:r>
      <w:r>
        <w:rPr>
          <w:rFonts w:ascii="Times New Roman" w:hAnsi="Times New Roman" w:eastAsia="宋体" w:cs="Times New Roman"/>
          <w:b/>
          <w:sz w:val="24"/>
        </w:rPr>
        <w:t xml:space="preserve">.2.1 </w:t>
      </w:r>
      <w:r>
        <w:rPr>
          <w:rFonts w:hint="eastAsia" w:ascii="Times New Roman" w:hAnsi="Times New Roman" w:eastAsia="宋体" w:cs="Times New Roman"/>
          <w:b/>
          <w:sz w:val="24"/>
        </w:rPr>
        <w:t>一般性讨论内容概览</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报告评估2015年能源使用税（碳税和其他特定的能源使用税）的范围和覆盖范围，跨不同国家和选定的国家集团，涉及六个部门和五个主要燃料类型。它还考虑到2012年至2015年间有效的能源使用税率的变化。该分析基于OECD的能源使用税数据库，这是一个独特的数据库，用于比较42个国家和经济体的能源使用的具体税率范围和幅度。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排放交易体系中的许可价格以类似于能源使用税所含税种的方式改变了能源使用和碳排放的价格。这些价格包含在OECD的有效碳税率中。</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告的主要研究结果如下：各国的能源使用税差异巨大，所以很难用国家平均数来描述；从环境角度来看，几乎所有能源使用税的税率都太低；煤炭税通常等于零或几乎等于零；道路运输税收远高于其他部门的税收，但在几乎所有情况下仍然太低以至于无法承担外部成本；在GDP较高的情况下，税率往往较高，但这种模式有明显的例外；燃油税在2012年和2015年之间在一些大国增加了，并且走出了取消柴油税率比汽油相比更低的第一步，但除此之外，没有迹象表明污染者付费原则在2015年比2</w:t>
      </w:r>
      <w:r>
        <w:rPr>
          <w:rFonts w:ascii="Times New Roman" w:hAnsi="Times New Roman" w:eastAsia="宋体" w:cs="Times New Roman"/>
          <w:sz w:val="24"/>
        </w:rPr>
        <w:t>012</w:t>
      </w:r>
      <w:r>
        <w:rPr>
          <w:rFonts w:hint="eastAsia" w:ascii="Times New Roman" w:hAnsi="Times New Roman" w:eastAsia="宋体" w:cs="Times New Roman"/>
          <w:sz w:val="24"/>
        </w:rPr>
        <w:t>年更强烈地决定了能源税格局。</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能源税在国家、行业部门和燃料类型之间差异很大。这是政策目标和政治经济因素混合的结果，这意味着考虑跨部门和国家层面的燃料的平均税率可能是非常具有误导性的。纵览所有国家每吨CO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的有效税率表明，针对道路运输部门以外排放的税率几乎没有任何变化。在所有国家，税收继续与能源使用的环境和气候成本不一致。</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在公路运输中，各国对97％的排放物征税。对气候成本征税的排放份额从2012年的46％上升到2015年的50％，2015年排放成本超过50欧元/吨CO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的排放量为47％，而2012年为37％。然而只有在少数几个国家，碳税率才最为接近及正在努力接近应该达到的水平，而大多数国家的税率仍远低于该水平。这些变化主要来自中国、印度和墨西哥的燃油税改革。</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在占能源使用碳排放量95％的非公路行业中，81％的排放量未被征税，并且费率低于真实的最低气候成本估算值，即3</w:t>
      </w:r>
      <w:r>
        <w:rPr>
          <w:rFonts w:ascii="Times New Roman" w:hAnsi="Times New Roman" w:eastAsia="宋体" w:cs="Times New Roman"/>
          <w:sz w:val="24"/>
        </w:rPr>
        <w:t>0</w:t>
      </w:r>
      <w:r>
        <w:rPr>
          <w:rFonts w:hint="eastAsia" w:ascii="Times New Roman" w:hAnsi="Times New Roman" w:eastAsia="宋体" w:cs="Times New Roman"/>
          <w:sz w:val="24"/>
        </w:rPr>
        <w:t>欧元/吨CO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（对于9</w:t>
      </w:r>
      <w:r>
        <w:rPr>
          <w:rFonts w:ascii="Times New Roman" w:hAnsi="Times New Roman" w:eastAsia="宋体" w:cs="Times New Roman"/>
          <w:sz w:val="24"/>
        </w:rPr>
        <w:t>7</w:t>
      </w:r>
      <w:r>
        <w:rPr>
          <w:rFonts w:hint="eastAsia" w:ascii="Times New Roman" w:hAnsi="Times New Roman" w:eastAsia="宋体" w:cs="Times New Roman"/>
          <w:sz w:val="24"/>
        </w:rPr>
        <w:t>%的排放而言）。在2012年至2015年间，大约一半的被研究国家的实际有效税率有所下降，这意味着可能无意中摆脱污染者付费原则。在不同程度上，这是由于税率平均的税基构成发生变化（即转向税收较少的燃料或行业），汇率变动以及名义利率未因通货膨胀而调整的结果。</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占全球42个国家几乎一半碳排放量的煤炭在很多国家都未被征税，在所研究的5个国家中，每吨CO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的排放税为5欧元以上。所有用途的石油产品税收都相对较高，在所有部门平均每吨CO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超过100欧元。与环境因素相反，除两个国家外，道路使用柴油税都低于汽油税，不过这种模式在一些国家已经开始发生变化。</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GDP较高的国家的税率往往较高，但一些收入相对较高的国家的能源使用平均税率相对较低。在能源使用税率较高的国家，GDP的碳强度平均较低。然而，人均能源消费和税率都随着收入而强烈增加，因此人均CO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排放量依然会随着平均收入的增加而上升，但随着收入的增长，平均值会减少，有时甚至会扭转。</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碳税的覆盖率从2012年到2015年从1％上升到6％，但是税收覆盖总量仅为气候成本的0.3％。运输燃料税主要包括没有被列为碳税的消费税。碳税对总税率的贡献在几个（主要是欧洲）公路运输以外的国家中更大。然而，能源税和碳税的消费税之间的区别主要是名义上的，在经济意义上几乎没有差异，即使税收的显著性取决于其知名度和名称而不同。</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总之，除了一些大型中低收入经济体的运输燃油税增加以及将柴油税率与汽油税对齐的一些努力之外，2012年至2015年期间，能源使用税的模式没有结构性变化。这是令人不安的，特别是因为改善能源使用税的环境和气候效益完全符合更有效地追求其他政策目标，而正是这些政策目标形成了当前的税收模式。如果认为有必要对更高的能源成本进行补偿，那么较低的税率或免税额不是提供这种补偿的方式。</w:t>
      </w:r>
    </w:p>
    <w:p>
      <w:pPr>
        <w:widowControl/>
        <w:spacing w:line="360" w:lineRule="auto"/>
        <w:outlineLvl w:val="3"/>
        <w:rPr>
          <w:rFonts w:ascii="Times New Roman" w:hAnsi="Times New Roman" w:eastAsia="宋体" w:cs="Times New Roman"/>
          <w:b/>
          <w:sz w:val="24"/>
        </w:rPr>
      </w:pPr>
      <w:r>
        <w:rPr>
          <w:rFonts w:hint="eastAsia" w:ascii="Times New Roman" w:hAnsi="Times New Roman" w:eastAsia="宋体" w:cs="Times New Roman"/>
          <w:b/>
          <w:sz w:val="24"/>
        </w:rPr>
        <w:t>4</w:t>
      </w:r>
      <w:r>
        <w:rPr>
          <w:rFonts w:ascii="Times New Roman" w:hAnsi="Times New Roman" w:eastAsia="宋体" w:cs="Times New Roman"/>
          <w:b/>
          <w:sz w:val="24"/>
        </w:rPr>
        <w:t xml:space="preserve">.2.2 </w:t>
      </w:r>
      <w:r>
        <w:rPr>
          <w:rFonts w:hint="eastAsia" w:ascii="Times New Roman" w:hAnsi="Times New Roman" w:eastAsia="宋体" w:cs="Times New Roman"/>
          <w:b/>
          <w:sz w:val="24"/>
        </w:rPr>
        <w:t>国别说明的中国部分</w:t>
      </w:r>
      <w:r>
        <w:rPr>
          <w:rFonts w:ascii="Times New Roman" w:hAnsi="Times New Roman" w:eastAsia="宋体" w:cs="Times New Roman"/>
          <w:b/>
          <w:sz w:val="24"/>
          <w:vertAlign w:val="superscript"/>
        </w:rPr>
        <w:footnoteReference w:id="9"/>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报告还包含了一些特定国家的能源税情况和国家信息说明，以补充报告中的一般性讨论。这里简要介绍一下说明的中国部分。</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该说明包含中国的四个能源税概况，分别为2015年国家货币和欧元每GJ能量使用（EUR</w:t>
      </w:r>
      <w:r>
        <w:rPr>
          <w:rFonts w:ascii="Times New Roman" w:hAnsi="Times New Roman" w:eastAsia="宋体" w:cs="Times New Roman"/>
          <w:sz w:val="24"/>
        </w:rPr>
        <w:t>/GJ</w:t>
      </w:r>
      <w:r>
        <w:rPr>
          <w:rFonts w:hint="eastAsia" w:ascii="Times New Roman" w:hAnsi="Times New Roman" w:eastAsia="宋体" w:cs="Times New Roman"/>
          <w:sz w:val="24"/>
        </w:rPr>
        <w:t>）的有效税率，包括电力出口税和生物质能源使用；2015年国家货币和欧元每吨CO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（EUR</w:t>
      </w:r>
      <w:r>
        <w:rPr>
          <w:rFonts w:ascii="Times New Roman" w:hAnsi="Times New Roman" w:eastAsia="宋体" w:cs="Times New Roman"/>
          <w:sz w:val="24"/>
        </w:rPr>
        <w:t>/t</w:t>
      </w:r>
      <w:r>
        <w:rPr>
          <w:rFonts w:hint="eastAsia" w:ascii="Times New Roman" w:hAnsi="Times New Roman" w:eastAsia="宋体" w:cs="Times New Roman"/>
          <w:sz w:val="24"/>
        </w:rPr>
        <w:t>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）的有效税率，包括电力生产税和生物质能源使用；2015年国家货币和欧元每吨CO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的有效税率，不包括电力输出税，但包括生物质能源的碳排放；2015年国家货币能源和欧元每吨CO</w:t>
      </w:r>
      <w:r>
        <w:rPr>
          <w:rFonts w:ascii="Times New Roman" w:hAnsi="Times New Roman" w:eastAsia="宋体" w:cs="Times New Roman"/>
          <w:sz w:val="24"/>
          <w:vertAlign w:val="subscript"/>
        </w:rPr>
        <w:t>2</w:t>
      </w:r>
      <w:r>
        <w:rPr>
          <w:rFonts w:hint="eastAsia" w:ascii="Times New Roman" w:hAnsi="Times New Roman" w:eastAsia="宋体" w:cs="Times New Roman"/>
          <w:sz w:val="24"/>
        </w:rPr>
        <w:t>有效税率，不包括电力生产税和生物质能源的碳排放。</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上述4个能源使用税概况分别显示了不同燃料的有效税率以及燃料能源和碳含量的使用情况，其差异主要体现在是否包括生物质的能源使用和碳排放，以及计算时是否包含电力产品税。</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六个经济部门中，公路部门以最高税率征税，中国对汽油和柴油征收消费税，适用于所有行业的柴油和汽油，分别为1.52元人民币和1.2元人民币。该税收包含在中国的能源税概况中。被征税的汽油和柴油占公路部门能源使用和碳排放量的90％以上。公路行业使用的其他燃料（液化石油气，天然气和生物燃料）则不被征税。在非公路运输中使用的汽油和柴油也要征税，并占该部门能源使用和碳排放量的近90％。其他用于非道路运输的燃料未征税。</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除汽油和柴油外，工业、农业和渔业、住宅和商业部门以及电力中使用的所有燃料都被免税。从能源税的情况可以看出，含税的石油产品在这些燃料中的占比非常小。未硫化煤炭和焦炭主导了能源使用和行业能源使用的碳排放（88％来自能源使用的碳排放）和电力部门（99％）。</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 xml:space="preserve">.3 </w:t>
      </w:r>
      <w:r>
        <w:rPr>
          <w:rFonts w:hint="eastAsia" w:ascii="Times New Roman" w:hAnsi="Times New Roman" w:eastAsia="宋体" w:cs="Times New Roman"/>
          <w:b/>
          <w:sz w:val="24"/>
          <w:szCs w:val="24"/>
        </w:rPr>
        <w:t>文件发布的意义</w:t>
      </w:r>
    </w:p>
    <w:p>
      <w:pPr>
        <w:widowControl/>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化石燃料燃烧对气候和空气质量造成的破坏是可以控制的，但是延期行动的时间越长，解决这一挑战的难度就越大，成本也越高。将能源价格与气候变化和空气污染的成本相匹配是成本效益政策的核心要素，这也迫切需要大量改革。本报告的发布有助于敦促各国政府加快实施更有效的能源税政策，以激励减少能源使用、提升能源使用效率并推动能源利用形式的转变，从而改善环境和气候变化。</w:t>
      </w:r>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9" w:name="_Toc508920515"/>
      <w:r>
        <w:rPr>
          <w:rFonts w:ascii="Times New Roman" w:hAnsi="Times New Roman" w:eastAsia="宋体" w:cs="Times New Roman"/>
          <w:b/>
          <w:kern w:val="0"/>
          <w:sz w:val="24"/>
          <w:szCs w:val="24"/>
        </w:rPr>
        <w:t>5.</w:t>
      </w:r>
      <w:r>
        <w:rPr>
          <w:rFonts w:hint="eastAsia" w:ascii="Times New Roman" w:hAnsi="Times New Roman" w:eastAsia="宋体" w:cs="Times New Roman"/>
          <w:b/>
          <w:kern w:val="0"/>
          <w:sz w:val="24"/>
          <w:szCs w:val="24"/>
        </w:rPr>
        <w:t xml:space="preserve"> </w:t>
      </w:r>
      <w:r>
        <w:rPr>
          <w:rFonts w:ascii="Times New Roman" w:hAnsi="Times New Roman" w:eastAsia="宋体" w:cs="Times New Roman"/>
          <w:b/>
          <w:kern w:val="0"/>
          <w:sz w:val="24"/>
          <w:szCs w:val="24"/>
        </w:rPr>
        <w:t>OECD</w:t>
      </w:r>
      <w:r>
        <w:rPr>
          <w:rFonts w:hint="eastAsia" w:ascii="Times New Roman" w:hAnsi="Times New Roman" w:eastAsia="宋体" w:cs="Times New Roman"/>
          <w:b/>
          <w:kern w:val="0"/>
          <w:sz w:val="24"/>
          <w:szCs w:val="24"/>
        </w:rPr>
        <w:t>发布税务工作文件《股息、利息和资本收益的法定税率：考虑个人对债务和股权的偏好》</w:t>
      </w:r>
      <w:r>
        <w:rPr>
          <w:rFonts w:ascii="Times New Roman" w:hAnsi="Times New Roman" w:eastAsia="宋体" w:cs="Times New Roman"/>
          <w:b/>
          <w:kern w:val="0"/>
          <w:sz w:val="24"/>
          <w:szCs w:val="24"/>
          <w:vertAlign w:val="superscript"/>
        </w:rPr>
        <w:footnoteReference w:id="10"/>
      </w:r>
      <w:bookmarkEnd w:id="9"/>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日，</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发布税务工作文件《股息、利息和资本收益的法定税率：考虑个人对债务和股权的偏好》，该份文件介绍了多种形式的资本收入的法定税率，包括股息、债券和银行账户的利息以及股票和不动产的资本收益，涵盖企业与个人层面的税率。该文件更新了早期税务工作文件（</w:t>
      </w:r>
      <w:r>
        <w:rPr>
          <w:rFonts w:ascii="Times New Roman" w:hAnsi="Times New Roman" w:eastAsia="宋体" w:cs="Times New Roman"/>
          <w:sz w:val="24"/>
          <w:szCs w:val="24"/>
        </w:rPr>
        <w:t>2013</w:t>
      </w:r>
      <w:r>
        <w:rPr>
          <w:rFonts w:hint="eastAsia" w:ascii="Times New Roman" w:hAnsi="Times New Roman" w:eastAsia="宋体" w:cs="Times New Roman"/>
          <w:sz w:val="24"/>
          <w:szCs w:val="24"/>
        </w:rPr>
        <w:t>）中的税率，并加以扩展，将考虑个人税收水平时对债务和股权的偏好纳入考量。</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5.1 </w:t>
      </w:r>
      <w:r>
        <w:rPr>
          <w:rFonts w:hint="eastAsia" w:ascii="Times New Roman" w:hAnsi="Times New Roman" w:eastAsia="宋体" w:cs="Times New Roman"/>
          <w:b/>
          <w:sz w:val="24"/>
          <w:szCs w:val="24"/>
        </w:rPr>
        <w:t>简介</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除了劳动和业务收入之外，许多个人还会有资本收入，例如银行存款收益或债券收益，或从股权或不动产所有权中获得资本收入。根据收入的性质、时间、来源以及收入者的收入水平和特点，适用于这些收入形式的税收规则在各国之间有所不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《对股息、利息和资本收益征税（</w:t>
      </w:r>
      <w:r>
        <w:rPr>
          <w:rFonts w:ascii="Times New Roman" w:hAnsi="Times New Roman" w:eastAsia="宋体" w:cs="Times New Roman"/>
          <w:sz w:val="24"/>
          <w:szCs w:val="24"/>
        </w:rPr>
        <w:t>2013</w:t>
      </w:r>
      <w:r>
        <w:rPr>
          <w:rFonts w:hint="eastAsia" w:ascii="Times New Roman" w:hAnsi="Times New Roman" w:eastAsia="宋体" w:cs="Times New Roman"/>
          <w:sz w:val="24"/>
          <w:szCs w:val="24"/>
        </w:rPr>
        <w:t>）》的文件提供了一个分析框架，以及对居民个人在国内获得的三种简单类型的资本收入实施税收优惠：一是普通股的股息收入，二是现金存款利息收入，三是长期房地产和股权的资本收益。</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该新发文件利用</w:t>
      </w:r>
      <w:r>
        <w:rPr>
          <w:rFonts w:ascii="Times New Roman" w:hAnsi="Times New Roman" w:eastAsia="宋体" w:cs="Times New Roman"/>
          <w:sz w:val="24"/>
          <w:szCs w:val="24"/>
        </w:rPr>
        <w:t>2016</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月发布的调查问卷（企业融资分析中的税收和债务偏好调查问卷）中的结果，对</w:t>
      </w:r>
      <w:r>
        <w:rPr>
          <w:rFonts w:ascii="Times New Roman" w:hAnsi="Times New Roman" w:eastAsia="宋体" w:cs="Times New Roman"/>
          <w:sz w:val="24"/>
          <w:szCs w:val="24"/>
        </w:rPr>
        <w:t>2013</w:t>
      </w:r>
      <w:r>
        <w:rPr>
          <w:rFonts w:hint="eastAsia" w:ascii="Times New Roman" w:hAnsi="Times New Roman" w:eastAsia="宋体" w:cs="Times New Roman"/>
          <w:sz w:val="24"/>
          <w:szCs w:val="24"/>
        </w:rPr>
        <w:t>年发布文件后到</w:t>
      </w:r>
      <w:r>
        <w:rPr>
          <w:rFonts w:ascii="Times New Roman" w:hAnsi="Times New Roman" w:eastAsia="宋体" w:cs="Times New Roman"/>
          <w:sz w:val="24"/>
          <w:szCs w:val="24"/>
        </w:rPr>
        <w:t>2016</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7</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日之间的信息进行了更新，并将分析延伸至两种新类型的资本收入：公司债券的利息收入和短期股权的资本收益。该文件中的税率代表相关税收制度下资本收入的最大可能负担，并且是法定税率而不是有效税率。最后，该文件还比较了债务和股权回报的税收处理，包括公司层面和个人层面，以确定在考虑个人所得税时是否存在税收造成的债务偏差。</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5.2 </w:t>
      </w:r>
      <w:r>
        <w:rPr>
          <w:rFonts w:hint="eastAsia" w:ascii="Times New Roman" w:hAnsi="Times New Roman" w:eastAsia="宋体" w:cs="Times New Roman"/>
          <w:b/>
          <w:sz w:val="24"/>
          <w:szCs w:val="24"/>
        </w:rPr>
        <w:t>内容</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5.2.1 </w:t>
      </w:r>
      <w:r>
        <w:rPr>
          <w:rFonts w:hint="eastAsia" w:ascii="Times New Roman" w:hAnsi="Times New Roman" w:eastAsia="宋体" w:cs="Times New Roman"/>
          <w:b/>
          <w:sz w:val="24"/>
          <w:szCs w:val="24"/>
        </w:rPr>
        <w:t>股息收入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股息通常首先作为企业收入征税，然后再分配给股东，并且可能被作为个人收入再次纳税。因此，企业所得税额与个人所缴税额之间的整合是决定股息收入法定税率的关键因素。填写调查问卷的各国使用一系列方法来整合企业和个人税制。</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作为股息形式的股权回报首先要在公司层面上作为公司利润纳税，从而减少分配给股东的收入。以下介绍公司层面有三种纳税方式：</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一是标准企业所得税（</w:t>
      </w:r>
      <w:r>
        <w:rPr>
          <w:rFonts w:ascii="Times New Roman" w:hAnsi="Times New Roman" w:eastAsia="宋体" w:cs="Times New Roman"/>
          <w:sz w:val="24"/>
          <w:szCs w:val="24"/>
        </w:rPr>
        <w:t>CIT</w:t>
      </w:r>
      <w:r>
        <w:rPr>
          <w:rFonts w:hint="eastAsia" w:ascii="Times New Roman" w:hAnsi="Times New Roman" w:eastAsia="宋体" w:cs="Times New Roman"/>
          <w:sz w:val="24"/>
          <w:szCs w:val="24"/>
        </w:rPr>
        <w:t>，</w:t>
      </w:r>
      <w:r>
        <w:rPr>
          <w:rFonts w:ascii="Times New Roman" w:hAnsi="Times New Roman" w:eastAsia="宋体" w:cs="Times New Roman"/>
          <w:sz w:val="24"/>
          <w:szCs w:val="24"/>
        </w:rPr>
        <w:t>corporate income tax</w:t>
      </w:r>
      <w:r>
        <w:rPr>
          <w:rFonts w:hint="eastAsia" w:ascii="Times New Roman" w:hAnsi="Times New Roman" w:eastAsia="宋体" w:cs="Times New Roman"/>
          <w:sz w:val="24"/>
          <w:szCs w:val="24"/>
        </w:rPr>
        <w:t>）。大多数国家根据标准的企业所得税制度在公司层面对企业净收入征税。可供分配的金额是税后公司收入，它构成了股东应税收入的基础。也有例外情况，如在新加坡在个人一级不需要缴税；在荷兰应纳税所得应该是股东权益的回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第二种方法是在公司层面提供公司股权的免税额（</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w:t>
      </w:r>
      <w:r>
        <w:rPr>
          <w:rFonts w:ascii="Times New Roman" w:hAnsi="Times New Roman" w:eastAsia="宋体" w:cs="Times New Roman"/>
          <w:sz w:val="24"/>
          <w:szCs w:val="24"/>
        </w:rPr>
        <w:t>allowance for corporate equity</w:t>
      </w:r>
      <w:r>
        <w:rPr>
          <w:rFonts w:hint="eastAsia" w:ascii="Times New Roman" w:hAnsi="Times New Roman" w:eastAsia="宋体" w:cs="Times New Roman"/>
          <w:sz w:val="24"/>
          <w:szCs w:val="24"/>
        </w:rPr>
        <w:t>），例如比利时、意大利（从</w:t>
      </w:r>
      <w:r>
        <w:rPr>
          <w:rFonts w:ascii="Times New Roman" w:hAnsi="Times New Roman" w:eastAsia="宋体" w:cs="Times New Roman"/>
          <w:sz w:val="24"/>
          <w:szCs w:val="24"/>
        </w:rPr>
        <w:t>2012</w:t>
      </w:r>
      <w:r>
        <w:rPr>
          <w:rFonts w:hint="eastAsia" w:ascii="Times New Roman" w:hAnsi="Times New Roman" w:eastAsia="宋体" w:cs="Times New Roman"/>
          <w:sz w:val="24"/>
          <w:szCs w:val="24"/>
        </w:rPr>
        <w:t>年开始）以及土耳其（从</w:t>
      </w:r>
      <w:r>
        <w:rPr>
          <w:rFonts w:ascii="Times New Roman" w:hAnsi="Times New Roman" w:eastAsia="宋体" w:cs="Times New Roman"/>
          <w:sz w:val="24"/>
          <w:szCs w:val="24"/>
        </w:rPr>
        <w:t>2015</w:t>
      </w:r>
      <w:r>
        <w:rPr>
          <w:rFonts w:hint="eastAsia" w:ascii="Times New Roman" w:hAnsi="Times New Roman" w:eastAsia="宋体" w:cs="Times New Roman"/>
          <w:sz w:val="24"/>
          <w:szCs w:val="24"/>
        </w:rPr>
        <w:t>年开始）。比利时和意大利的补贴率接近无风险资产收益率，从而从企业税中免除无风险回报。例如，如果税前公司利润是公司股权的无风险回报的三倍，则在该税收体系下将企业税减少三分之一，并且在无风险部分回报中消除双重征税。</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在这种制度下，可供分配的税后公司利润是税前公司利润减去有关风险部分回报的税额。扣除的未使用部分结转到下一个财政年度，而不是可退还的。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在土耳其，</w:t>
      </w:r>
      <w:r>
        <w:rPr>
          <w:rFonts w:ascii="Times New Roman" w:hAnsi="Times New Roman" w:eastAsia="宋体" w:cs="Times New Roman"/>
          <w:sz w:val="24"/>
          <w:szCs w:val="24"/>
        </w:rPr>
        <w:t>2015</w:t>
      </w:r>
      <w:r>
        <w:rPr>
          <w:rFonts w:hint="eastAsia" w:ascii="Times New Roman" w:hAnsi="Times New Roman" w:eastAsia="宋体" w:cs="Times New Roman"/>
          <w:sz w:val="24"/>
          <w:szCs w:val="24"/>
        </w:rPr>
        <w:t>年推出了一个</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系统用于新股权。</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的比率与用于银行贷款的年加权平均利率相近，并由土耳其中央银行每年进行公布。所公布的免税额的一半作为资本注入，并可从公司税基中扣除。任何未使用的扣减部分将结转至下一财政年度。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最后，爱沙尼亚在</w:t>
      </w:r>
      <w:r>
        <w:rPr>
          <w:rFonts w:ascii="Times New Roman" w:hAnsi="Times New Roman" w:eastAsia="宋体" w:cs="Times New Roman"/>
          <w:sz w:val="24"/>
          <w:szCs w:val="24"/>
        </w:rPr>
        <w:t>CIT</w:t>
      </w:r>
      <w:r>
        <w:rPr>
          <w:rFonts w:hint="eastAsia" w:ascii="Times New Roman" w:hAnsi="Times New Roman" w:eastAsia="宋体" w:cs="Times New Roman"/>
          <w:sz w:val="24"/>
          <w:szCs w:val="24"/>
        </w:rPr>
        <w:t>制度下不对留存的公司利润征税，而是对分配的部分征税。在股东层面，分配的全部金额被视为应纳税所得额。税收在分配点支付，分配收入不需要在股东一级进一步征税。</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三，税后企业利润可以作为股息或再投资分配给股东。如果进行分配，个人层面的综合税率取决于应纳税的分配收入金额和适用的税率。所适用的税率是个人在其股息收入中应付的最高边际税率，因此法定税率可以被视为适用于股息收入的最高税率。</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5.2.2 </w:t>
      </w:r>
      <w:r>
        <w:rPr>
          <w:rFonts w:hint="eastAsia" w:ascii="Times New Roman" w:hAnsi="Times New Roman" w:eastAsia="宋体" w:cs="Times New Roman"/>
          <w:b/>
          <w:sz w:val="24"/>
          <w:szCs w:val="24"/>
        </w:rPr>
        <w:t>利息收入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利息收入的税收，无论是来自于银行存款还是从公司债券，都只发生在个人层面。</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大多数国家根据收到的利息收入来评估应纳税利息收入。在荷兰，对银行存款的利息收入按推定的资本回报征收。爱沙尼亚不向这些来源的利息收入征税，但来自其他来源的利息收入可能需要纳税。</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大多数国家对全部利息收入征税，一些国家对固定数额的利息收入提供免税，荷兰对资本收入的推定税收也包含基本的补贴。这些制度被视为完全包容制度，因为在超过最低限度门槛后，豁免不会影响适用于边际利息收入的税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没有一个国家可以为一定比例的利息收入提供豁免。但是，有几个国家考虑了通货膨胀，指数化免除了税收中利息收入的通货膨胀部分，降低了在通货膨胀情况下名义收入的最终有效税率。指数化可以通过调整初始存款的金额或计算调整后的存款应支付的利息或通过调整应纳税率来实现。</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在荷兰，应纳税利息收入金额以存款的推定回报为基础，与股息收入的计算方法相同。利息收入所支付的税额取决于初始投资的金额，类似于财产税。</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在新加坡，银行存款和公司债券的利息收入在个人层面免税。同样，在哥斯达黎加和爱沙尼亚，金融机构的利息收入可以免税，但企业债券的利息在最终预扣税下应纳税。</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5.2.3 </w:t>
      </w:r>
      <w:r>
        <w:rPr>
          <w:rFonts w:hint="eastAsia" w:ascii="Times New Roman" w:hAnsi="Times New Roman" w:eastAsia="宋体" w:cs="Times New Roman"/>
          <w:b/>
          <w:sz w:val="24"/>
          <w:szCs w:val="24"/>
        </w:rPr>
        <w:t>股权资本收益</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本部分内容包括在任何持有期限到期后对长期持有的股票实现的名义资本收益的税务处理。它还考虑对购买后不到</w:t>
      </w:r>
      <w:r>
        <w:rPr>
          <w:rFonts w:ascii="Times New Roman" w:hAnsi="Times New Roman" w:eastAsia="宋体" w:cs="Times New Roman"/>
          <w:sz w:val="24"/>
          <w:szCs w:val="24"/>
        </w:rPr>
        <w:t>6</w:t>
      </w:r>
      <w:r>
        <w:rPr>
          <w:rFonts w:hint="eastAsia" w:ascii="Times New Roman" w:hAnsi="Times New Roman" w:eastAsia="宋体" w:cs="Times New Roman"/>
          <w:sz w:val="24"/>
          <w:szCs w:val="24"/>
        </w:rPr>
        <w:t>个月的股票所实现的名义资本收益的税收待遇，这些税收待遇与长期持有股份的税收待遇不同。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假设股票资本收益完全是由于税后公司利润的再投资，因此，股权资本收益的税率是适用的公司和个人税制以及这些税制之间的相互作用的函数。个人层面使用的税率是资本收益对应的最高边际税率。因此，综合税率可视为适用于长期和短期持有的名义收益的最高合并法定税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以再投资收益为目的的资本收益形式的股本回报首先在公司层面上征税。</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在企业层面支付税收减少了股东的收益。在大多数国家，资本收益的企业税率与所得收入呈线性关系。</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但是，根据比利时的</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税制和意大利和土耳其的新股权税制，实际回报率和用于计算企业总收入的</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减免额的名义回报率之间的差额影响企业应纳税额。如果实际回报率低于</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扣减额，则居民公司不支付公司税，任何剩余部分结转，并在随后的年度从公司税负中扣除。由于实际收益率增加超出了</w:t>
      </w:r>
      <w:r>
        <w:rPr>
          <w:rFonts w:ascii="Times New Roman" w:hAnsi="Times New Roman" w:eastAsia="宋体" w:cs="Times New Roman"/>
          <w:sz w:val="24"/>
          <w:szCs w:val="24"/>
        </w:rPr>
        <w:t>ACE</w:t>
      </w:r>
      <w:r>
        <w:rPr>
          <w:rFonts w:hint="eastAsia" w:ascii="Times New Roman" w:hAnsi="Times New Roman" w:eastAsia="宋体" w:cs="Times New Roman"/>
          <w:sz w:val="24"/>
          <w:szCs w:val="24"/>
        </w:rPr>
        <w:t>扣除水平，因此企业所得税负增加。</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在股东层面，比利时、哥斯达黎加、新西兰、新加坡和瑞士不对长期股权的资本收益征税。</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在智利、捷克共和国、匈牙利、卢森堡、斯洛文尼亚和土耳其持股期结束后，持有股份的收益可在股东层面免税。在澳大利亚、芬兰、法国和美国持股期结束后，对资本收益的税收进行更优惠的处理。</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 xml:space="preserve">5.3 </w:t>
      </w:r>
      <w:r>
        <w:rPr>
          <w:rFonts w:hint="eastAsia" w:ascii="Times New Roman" w:hAnsi="Times New Roman" w:eastAsia="宋体" w:cs="Times New Roman"/>
          <w:b/>
          <w:sz w:val="24"/>
          <w:szCs w:val="24"/>
        </w:rPr>
        <w:t>总结</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各国对不同类型的资本收入实行一系列不同的税收处理，因此不同的收益也适用不同的税率。对于财产的利息收入和资本收益，税收只在个人层面上；而对于股息和股权资本收益，收益在企业层面和个人层面先后征税，这两个层次的税收综合是决定整体税率的重要因素。通常情况下，股息的税率是最高的，而不动产资本收益的税率则是最低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表</w:t>
      </w:r>
      <w:r>
        <w:rPr>
          <w:rFonts w:ascii="Times New Roman" w:hAnsi="Times New Roman" w:eastAsia="宋体" w:cs="Times New Roman"/>
          <w:sz w:val="24"/>
          <w:szCs w:val="24"/>
        </w:rPr>
        <w:t>5-1</w:t>
      </w:r>
      <w:r>
        <w:rPr>
          <w:rFonts w:hint="eastAsia" w:ascii="Times New Roman" w:hAnsi="Times New Roman" w:eastAsia="宋体" w:cs="Times New Roman"/>
          <w:sz w:val="24"/>
          <w:szCs w:val="24"/>
        </w:rPr>
        <w:t>总结了</w:t>
      </w:r>
      <w:r>
        <w:rPr>
          <w:rFonts w:ascii="Times New Roman" w:hAnsi="Times New Roman" w:eastAsia="宋体" w:cs="Times New Roman"/>
          <w:sz w:val="24"/>
          <w:szCs w:val="24"/>
        </w:rPr>
        <w:t>2016</w:t>
      </w:r>
      <w:r>
        <w:rPr>
          <w:rFonts w:hint="eastAsia" w:ascii="Times New Roman" w:hAnsi="Times New Roman" w:eastAsia="宋体" w:cs="Times New Roman"/>
          <w:sz w:val="24"/>
          <w:szCs w:val="24"/>
        </w:rPr>
        <w:t>年各国对不同收益适用的整体税率情况。</w:t>
      </w:r>
    </w:p>
    <w:p>
      <w:pPr>
        <w:spacing w:line="360" w:lineRule="auto"/>
        <w:ind w:firstLine="2310" w:firstLineChars="1100"/>
        <w:rPr>
          <w:rFonts w:ascii="Times New Roman" w:hAnsi="Times New Roman" w:eastAsia="宋体" w:cs="Times New Roman"/>
          <w:sz w:val="24"/>
          <w:szCs w:val="24"/>
        </w:rPr>
      </w:pPr>
      <w:r>
        <w:rPr>
          <w:rFonts w:hint="eastAsia" w:ascii="Times New Roman" w:hAnsi="Times New Roman" w:eastAsia="宋体" w:cs="Times New Roman"/>
          <w:szCs w:val="21"/>
        </w:rPr>
        <w:t>表</w:t>
      </w:r>
      <w:r>
        <w:rPr>
          <w:rFonts w:ascii="Times New Roman" w:hAnsi="Times New Roman" w:eastAsia="宋体" w:cs="Times New Roman"/>
          <w:szCs w:val="21"/>
        </w:rPr>
        <w:t>5-1 2016</w:t>
      </w:r>
      <w:r>
        <w:rPr>
          <w:rFonts w:hint="eastAsia" w:ascii="Times New Roman" w:hAnsi="Times New Roman" w:eastAsia="宋体" w:cs="Times New Roman"/>
          <w:szCs w:val="21"/>
        </w:rPr>
        <w:t>年各国对不同收益适用的整体税率</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单位：</w:t>
      </w:r>
      <w:r>
        <w:rPr>
          <w:rFonts w:ascii="Times New Roman" w:hAnsi="Times New Roman" w:eastAsia="宋体" w:cs="Times New Roman"/>
          <w:szCs w:val="21"/>
        </w:rPr>
        <w:t>%</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15"/>
        <w:gridCol w:w="1559"/>
        <w:gridCol w:w="1276"/>
        <w:gridCol w:w="1559"/>
        <w:gridCol w:w="1893"/>
      </w:tblGrid>
      <w:tr>
        <w:tblPrEx>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国家（地区）</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股息</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股权资本收益</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债券利息</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存款利息</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财产资本收益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澳大利亚</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47.2</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奥地利</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45.6</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45.6</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比利时</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44.8</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24.4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加拿大</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55.6</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46.4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53.5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53.5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智利</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哥斯达黎加</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33.5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8</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捷克</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31.2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爱沙尼亚</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芬兰</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43.1</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47.2</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法国</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53.2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55.9</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希腊</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36.1</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39.8</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匈牙利</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31.2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冰岛</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爱尔兰</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57.1</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51</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以色列</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45.3</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意大利</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49.2</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26</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26</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卢森堡</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43.4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29.3</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墨西哥</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37</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37</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荷兰</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55</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新西兰</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33</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挪威</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42.3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42.3</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波兰</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34.4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34.4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葡萄牙</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49.2</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新加坡</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17</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17</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斯洛伐克</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32.9</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36.8</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19</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斯洛文尼亚</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37.8</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17</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南非</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38.8</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39.8</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西班牙</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42.3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42.3</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23</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瑞典</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30</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瑞士</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53.7</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21.1</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41.3</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土耳其</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20</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10</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英国</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50.5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36</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45</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美国</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56.3</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56.2</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47.4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47.3</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hint="eastAsia" w:ascii="Times New Roman" w:hAnsi="Times New Roman" w:eastAsia="宋体" w:cs="Times New Roman"/>
                <w:szCs w:val="21"/>
              </w:rPr>
              <w:t>平均值</w:t>
            </w:r>
          </w:p>
        </w:tc>
        <w:tc>
          <w:tcPr>
            <w:tcW w:w="815"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40.4</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35.4</w:t>
            </w: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28.2</w:t>
            </w:r>
          </w:p>
        </w:tc>
        <w:tc>
          <w:tcPr>
            <w:tcW w:w="1559"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27.1</w:t>
            </w:r>
          </w:p>
        </w:tc>
        <w:tc>
          <w:tcPr>
            <w:tcW w:w="1893"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15.7</w:t>
            </w:r>
          </w:p>
        </w:tc>
      </w:tr>
    </w:tbl>
    <w:p>
      <w:pPr>
        <w:spacing w:line="360" w:lineRule="auto"/>
        <w:ind w:firstLine="480" w:firstLineChars="200"/>
        <w:rPr>
          <w:rFonts w:ascii="Times New Roman" w:hAnsi="Times New Roman" w:eastAsia="宋体" w:cs="Times New Roman"/>
          <w:sz w:val="24"/>
          <w:szCs w:val="24"/>
        </w:rPr>
      </w:pPr>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10" w:name="_Toc508920516"/>
      <w:r>
        <w:rPr>
          <w:rFonts w:hint="eastAsia" w:ascii="Times New Roman" w:hAnsi="Times New Roman" w:eastAsia="宋体" w:cs="Times New Roman"/>
          <w:b/>
          <w:kern w:val="0"/>
          <w:sz w:val="24"/>
          <w:szCs w:val="24"/>
        </w:rPr>
        <w:t>6. OECD发布税务工作文件《损失结转准备金：衡量税收对称性和自动稳定的影响》</w:t>
      </w:r>
      <w:r>
        <w:rPr>
          <w:rFonts w:ascii="Times New Roman" w:hAnsi="Times New Roman" w:eastAsia="宋体" w:cs="Times New Roman"/>
          <w:b/>
          <w:kern w:val="0"/>
          <w:sz w:val="24"/>
          <w:szCs w:val="24"/>
          <w:vertAlign w:val="superscript"/>
        </w:rPr>
        <w:footnoteReference w:id="11"/>
      </w:r>
      <w:bookmarkEnd w:id="10"/>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22</w:t>
      </w:r>
      <w:r>
        <w:rPr>
          <w:rFonts w:hint="eastAsia" w:ascii="Times New Roman" w:hAnsi="Times New Roman" w:eastAsia="宋体" w:cs="Times New Roman"/>
          <w:sz w:val="24"/>
          <w:szCs w:val="24"/>
        </w:rPr>
        <w:t>日，</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发布了第</w:t>
      </w:r>
      <w:r>
        <w:rPr>
          <w:rFonts w:ascii="Times New Roman" w:hAnsi="Times New Roman" w:eastAsia="宋体" w:cs="Times New Roman"/>
          <w:sz w:val="24"/>
          <w:szCs w:val="24"/>
        </w:rPr>
        <w:t>35</w:t>
      </w:r>
      <w:r>
        <w:rPr>
          <w:rFonts w:hint="eastAsia" w:ascii="Times New Roman" w:hAnsi="Times New Roman" w:eastAsia="宋体" w:cs="Times New Roman"/>
          <w:sz w:val="24"/>
          <w:szCs w:val="24"/>
        </w:rPr>
        <w:t>号税务工作文件《损失结转准备金：衡量税收对称性和自动稳定的影响》。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损失结转准备金是公司税制的重要组成部分。经济理论认为为了保持公司税收中性，其中一个必要条件是在投资具有不同风险特征的投资项目时要能完美的抵消跨期损失。然而，在实践中，对损失的税务处理通常不会达到此标准，例如，由于缺乏通货膨胀指数或税收抵消限制而不能达到标准。本文利用了详细的国家级信息，针对性提出了两个影响税收对称和结转准备金的税收政策指标，涵盖了</w:t>
      </w:r>
      <w:r>
        <w:rPr>
          <w:rFonts w:ascii="Times New Roman" w:hAnsi="Times New Roman" w:eastAsia="宋体" w:cs="Times New Roman"/>
          <w:sz w:val="24"/>
          <w:szCs w:val="24"/>
        </w:rPr>
        <w:t>34</w:t>
      </w:r>
      <w:r>
        <w:rPr>
          <w:rFonts w:hint="eastAsia" w:ascii="Times New Roman" w:hAnsi="Times New Roman" w:eastAsia="宋体" w:cs="Times New Roman"/>
          <w:sz w:val="24"/>
          <w:szCs w:val="24"/>
        </w:rPr>
        <w:t>个</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国家和非</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国家。</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6.1内容简介</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本文介绍了两个税收政策指标，这些指标涵盖了</w:t>
      </w:r>
      <w:r>
        <w:rPr>
          <w:rFonts w:ascii="Times New Roman" w:hAnsi="Times New Roman" w:eastAsia="宋体" w:cs="Times New Roman"/>
          <w:sz w:val="24"/>
          <w:szCs w:val="24"/>
        </w:rPr>
        <w:t>34</w:t>
      </w:r>
      <w:r>
        <w:rPr>
          <w:rFonts w:hint="eastAsia" w:ascii="Times New Roman" w:hAnsi="Times New Roman" w:eastAsia="宋体" w:cs="Times New Roman"/>
          <w:sz w:val="24"/>
          <w:szCs w:val="24"/>
        </w:rPr>
        <w:t>个</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国家和非</w:t>
      </w:r>
      <w:r>
        <w:rPr>
          <w:rFonts w:ascii="Times New Roman" w:hAnsi="Times New Roman" w:eastAsia="宋体" w:cs="Times New Roman"/>
          <w:sz w:val="24"/>
          <w:szCs w:val="24"/>
        </w:rPr>
        <w:t>OECD</w:t>
      </w:r>
      <w:r>
        <w:rPr>
          <w:rFonts w:hint="eastAsia" w:ascii="Times New Roman" w:hAnsi="Times New Roman" w:eastAsia="宋体" w:cs="Times New Roman"/>
          <w:sz w:val="24"/>
          <w:szCs w:val="24"/>
        </w:rPr>
        <w:t>国家的各种结转准备金对税收对称性和稳定性的影响。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税收对称指数反映了与完全对称相关的结转准备金（包括结转）的有效性，而稳定指数则反映了公司税收系统吸收的亏损企业的不利收入冲击比例。这些指数纳入了国家一级的企业所得税结转信息，包括在特定财政期间可以抵消的时间限制和税收损失数额的限制</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这些数据已在</w:t>
      </w:r>
      <w:r>
        <w:rPr>
          <w:rFonts w:ascii="Times New Roman" w:hAnsi="Times New Roman" w:eastAsia="宋体" w:cs="Times New Roman"/>
          <w:sz w:val="24"/>
          <w:szCs w:val="24"/>
        </w:rPr>
        <w:t>2016</w:t>
      </w:r>
      <w:r>
        <w:rPr>
          <w:rFonts w:hint="eastAsia" w:ascii="Times New Roman" w:hAnsi="Times New Roman" w:eastAsia="宋体" w:cs="Times New Roman"/>
          <w:sz w:val="24"/>
          <w:szCs w:val="24"/>
        </w:rPr>
        <w:t>年通过</w:t>
      </w:r>
      <w:r>
        <w:rPr>
          <w:rFonts w:ascii="Times New Roman" w:hAnsi="Times New Roman" w:eastAsia="宋体" w:cs="Times New Roman"/>
          <w:sz w:val="24"/>
          <w:szCs w:val="24"/>
        </w:rPr>
        <w:t>WP2</w:t>
      </w:r>
      <w:r>
        <w:rPr>
          <w:rFonts w:hint="eastAsia" w:ascii="Times New Roman" w:hAnsi="Times New Roman" w:eastAsia="宋体" w:cs="Times New Roman"/>
          <w:sz w:val="24"/>
          <w:szCs w:val="24"/>
        </w:rPr>
        <w:t>问卷收集。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虽然集团层面上的整合未得到解决，但本研究的重点是跨期损失抵消。得出以下四个主要结果：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是理想情况下，国家应允许企业的损失进行无限的结转，并应将税收损失与通货膨胀挂钩，以保持其实际价值。在这种情况下，企业税才是税收中性的，能够消除低风险项目的税收扭曲，增加企业税收的稳定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二是在我们的样本中，只有</w:t>
      </w:r>
      <w:r>
        <w:rPr>
          <w:rFonts w:ascii="Times New Roman" w:hAnsi="Times New Roman" w:eastAsia="宋体" w:cs="Times New Roman"/>
          <w:sz w:val="24"/>
          <w:szCs w:val="24"/>
        </w:rPr>
        <w:t>18</w:t>
      </w:r>
      <w:r>
        <w:rPr>
          <w:rFonts w:hint="eastAsia" w:ascii="Times New Roman" w:hAnsi="Times New Roman" w:eastAsia="宋体" w:cs="Times New Roman"/>
          <w:sz w:val="24"/>
          <w:szCs w:val="24"/>
        </w:rPr>
        <w:t>个国家允许企业无限结转损失，大多数国家没有将税收损失列入通货膨胀指数</w:t>
      </w:r>
      <w:r>
        <w:rPr>
          <w:rFonts w:ascii="Times New Roman" w:hAnsi="Times New Roman" w:eastAsia="宋体" w:cs="Times New Roman"/>
          <w:sz w:val="24"/>
          <w:szCs w:val="24"/>
        </w:rPr>
        <w:t>;</w:t>
      </w:r>
      <w:r>
        <w:rPr>
          <w:rFonts w:hint="eastAsia" w:ascii="Times New Roman" w:hAnsi="Times New Roman" w:eastAsia="宋体" w:cs="Times New Roman"/>
          <w:sz w:val="24"/>
          <w:szCs w:val="24"/>
        </w:rPr>
        <w:t>因此，大多数国家的公司税制并未实现完美的税收对称。</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三是有</w:t>
      </w:r>
      <w:r>
        <w:rPr>
          <w:rFonts w:ascii="Times New Roman" w:hAnsi="Times New Roman" w:eastAsia="宋体" w:cs="Times New Roman"/>
          <w:sz w:val="24"/>
          <w:szCs w:val="24"/>
        </w:rPr>
        <w:t>16</w:t>
      </w:r>
      <w:r>
        <w:rPr>
          <w:rFonts w:hint="eastAsia" w:ascii="Times New Roman" w:hAnsi="Times New Roman" w:eastAsia="宋体" w:cs="Times New Roman"/>
          <w:sz w:val="24"/>
          <w:szCs w:val="24"/>
        </w:rPr>
        <w:t>个国家将损失结转的期限限制在一定的年限内</w:t>
      </w:r>
      <w:r>
        <w:rPr>
          <w:rFonts w:ascii="Times New Roman" w:hAnsi="Times New Roman" w:eastAsia="宋体" w:cs="Times New Roman"/>
          <w:sz w:val="24"/>
          <w:szCs w:val="24"/>
        </w:rPr>
        <w:t>;8</w:t>
      </w:r>
      <w:r>
        <w:rPr>
          <w:rFonts w:hint="eastAsia" w:ascii="Times New Roman" w:hAnsi="Times New Roman" w:eastAsia="宋体" w:cs="Times New Roman"/>
          <w:sz w:val="24"/>
          <w:szCs w:val="24"/>
        </w:rPr>
        <w:t>个国家规定可以在一年内抵消税收损失金额。根据损失期的持续时间和数额的限制不同，可能会对两个税收指数产生不同的影响。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四是考虑到大多数国家并没有将税收损失列入通货膨胀指数，税收返还是一项有效的政策，有助于增加税收对称性和稳定性。在样本中，只有</w:t>
      </w:r>
      <w:r>
        <w:rPr>
          <w:rFonts w:ascii="Times New Roman" w:hAnsi="Times New Roman" w:eastAsia="宋体" w:cs="Times New Roman"/>
          <w:sz w:val="24"/>
          <w:szCs w:val="24"/>
        </w:rPr>
        <w:t>9</w:t>
      </w:r>
      <w:r>
        <w:rPr>
          <w:rFonts w:hint="eastAsia" w:ascii="Times New Roman" w:hAnsi="Times New Roman" w:eastAsia="宋体" w:cs="Times New Roman"/>
          <w:sz w:val="24"/>
          <w:szCs w:val="24"/>
        </w:rPr>
        <w:t>个国家提供税收返还。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这两个指数的跨国比较表明，这些限制对税收对称性和稳定性有重大影响。绝大多数所包含的公司税制并未实现完美的税收对称，因此暗示可能会对较低风险项目产生一定的税收扭曲。</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结转准备金和加速折旧之间可能存在重要的相互作用。由于一般会把折旧免税额作为能够结转税收损失的一部分，所以更快的加速折旧意味着增加了给定限制的不利影响。</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6.2文件颁布的意义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损失结转规则通常对投资有重要影响。一方面，它们有助于缓解收入状况不佳时对亏损企业现金流的影响，并且会潜在影响信贷受限企业的投资。另一方面，它们会影响具有不同风险特征的投资项目的选择。基于这些考虑，各国企业可以参考已经确定了两个税收指标，并将其用于确定公司税收稳定和对称性的结转准备金的影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未来可以通过扩展本文所采用的方法进行更深层次的研究。首先，假设企业对资产组合进行投资并随着时间的推移取代折旧资产，分析水平可能会从资产转移到企业。虽然这种方法会更难区别不同结转规则的影响，但它可以为观察到的商业周期内税收损失积累的实证分析提供一个合适的出发点。其次，该方法可以进一步扩展，深入考虑国家特定的税收损失和收入冲击数据。例如，使用</w:t>
      </w:r>
      <w:r>
        <w:rPr>
          <w:rFonts w:ascii="Times New Roman" w:hAnsi="Times New Roman" w:eastAsia="宋体" w:cs="Times New Roman"/>
          <w:sz w:val="24"/>
          <w:szCs w:val="24"/>
        </w:rPr>
        <w:t>ORBIS</w:t>
      </w:r>
      <w:r>
        <w:rPr>
          <w:rFonts w:hint="eastAsia" w:ascii="Times New Roman" w:hAnsi="Times New Roman" w:eastAsia="宋体" w:cs="Times New Roman"/>
          <w:sz w:val="24"/>
          <w:szCs w:val="24"/>
        </w:rPr>
        <w:t>的公司（某跨国公司）层面的数据，可以对收入冲击进行校准以匹配观察到的模式，从而在投资决策的跨国分析背景下增加税收指标的解释力。最后，通过计算与</w:t>
      </w:r>
      <w:r>
        <w:rPr>
          <w:rFonts w:ascii="Times New Roman" w:hAnsi="Times New Roman" w:eastAsia="宋体" w:cs="Times New Roman"/>
          <w:sz w:val="24"/>
          <w:szCs w:val="24"/>
        </w:rPr>
        <w:t>Devereux</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Griffith</w:t>
      </w:r>
      <w:r>
        <w:rPr>
          <w:rFonts w:hint="eastAsia" w:ascii="Times New Roman" w:hAnsi="Times New Roman" w:eastAsia="宋体" w:cs="Times New Roman"/>
          <w:sz w:val="24"/>
          <w:szCs w:val="24"/>
        </w:rPr>
        <w:t>（</w:t>
      </w:r>
      <w:r>
        <w:rPr>
          <w:rFonts w:ascii="Times New Roman" w:hAnsi="Times New Roman" w:eastAsia="宋体" w:cs="Times New Roman"/>
          <w:sz w:val="24"/>
          <w:szCs w:val="24"/>
        </w:rPr>
        <w:t>1999,2003</w:t>
      </w:r>
      <w:r>
        <w:rPr>
          <w:rFonts w:hint="eastAsia" w:ascii="Times New Roman" w:hAnsi="Times New Roman" w:eastAsia="宋体" w:cs="Times New Roman"/>
          <w:sz w:val="24"/>
          <w:szCs w:val="24"/>
        </w:rPr>
        <w:t>）的标准方法相当的模拟平均和边际有效税率，可以进一步开发模拟方法。</w:t>
      </w:r>
    </w:p>
    <w:p>
      <w:pPr>
        <w:pStyle w:val="2"/>
        <w:widowControl/>
        <w:numPr>
          <w:ilvl w:val="0"/>
          <w:numId w:val="1"/>
        </w:numPr>
        <w:adjustRightInd w:val="0"/>
        <w:snapToGrid w:val="0"/>
        <w:spacing w:before="312" w:beforeLines="100" w:after="312" w:afterLines="100" w:line="360" w:lineRule="auto"/>
        <w:ind w:left="482" w:hanging="482"/>
        <w:jc w:val="left"/>
        <w:rPr>
          <w:rFonts w:ascii="Times New Roman" w:hAnsi="Times New Roman" w:eastAsia="宋体" w:cs="Times New Roman"/>
          <w:sz w:val="24"/>
          <w:szCs w:val="24"/>
        </w:rPr>
      </w:pPr>
      <w:bookmarkStart w:id="11" w:name="_Toc508920517"/>
      <w:r>
        <w:rPr>
          <w:rFonts w:hint="eastAsia" w:ascii="Times New Roman" w:hAnsi="Times New Roman" w:eastAsia="宋体" w:cs="Times New Roman"/>
          <w:sz w:val="24"/>
          <w:szCs w:val="24"/>
        </w:rPr>
        <w:t>转让定价栏目</w:t>
      </w:r>
      <w:bookmarkEnd w:id="11"/>
    </w:p>
    <w:p>
      <w:pPr>
        <w:keepNext/>
        <w:keepLines/>
        <w:widowControl/>
        <w:snapToGrid w:val="0"/>
        <w:spacing w:before="312" w:beforeLines="100" w:after="312" w:afterLines="100" w:line="360" w:lineRule="auto"/>
        <w:jc w:val="left"/>
        <w:outlineLvl w:val="1"/>
        <w:rPr>
          <w:rFonts w:ascii="Times New Roman" w:hAnsi="Times New Roman" w:eastAsia="宋体" w:cs="Times New Roman"/>
          <w:b/>
          <w:kern w:val="0"/>
          <w:sz w:val="24"/>
          <w:szCs w:val="24"/>
        </w:rPr>
      </w:pPr>
      <w:bookmarkStart w:id="12" w:name="_Toc508920518"/>
      <w:r>
        <w:rPr>
          <w:rFonts w:ascii="Times New Roman" w:hAnsi="Times New Roman" w:eastAsia="宋体" w:cs="Times New Roman"/>
          <w:b/>
          <w:kern w:val="0"/>
          <w:sz w:val="24"/>
          <w:szCs w:val="24"/>
        </w:rPr>
        <w:t>7</w:t>
      </w:r>
      <w:r>
        <w:rPr>
          <w:rFonts w:hint="eastAsia" w:ascii="Times New Roman" w:hAnsi="Times New Roman" w:eastAsia="宋体" w:cs="Times New Roman"/>
          <w:b/>
          <w:kern w:val="0"/>
          <w:sz w:val="24"/>
          <w:szCs w:val="24"/>
        </w:rPr>
        <w:t>.</w:t>
      </w:r>
      <w:r>
        <w:rPr>
          <w:rFonts w:ascii="等线 Light" w:hAnsi="等线 Light" w:eastAsia="等线 Light" w:cs="Times New Roman"/>
          <w:b/>
          <w:bCs/>
          <w:sz w:val="32"/>
          <w:szCs w:val="32"/>
        </w:rPr>
        <w:t xml:space="preserve"> </w:t>
      </w:r>
      <w:r>
        <w:rPr>
          <w:rFonts w:ascii="Times New Roman" w:hAnsi="Times New Roman" w:eastAsia="宋体" w:cs="Times New Roman"/>
          <w:b/>
          <w:kern w:val="0"/>
          <w:sz w:val="24"/>
          <w:szCs w:val="24"/>
        </w:rPr>
        <w:t>OECD和巴西启动跨境税收规则差异审查项目</w:t>
      </w:r>
      <w:r>
        <w:rPr>
          <w:rFonts w:ascii="Times New Roman" w:hAnsi="Times New Roman" w:eastAsia="宋体" w:cs="Times New Roman"/>
          <w:b/>
          <w:kern w:val="0"/>
          <w:sz w:val="24"/>
          <w:szCs w:val="24"/>
          <w:vertAlign w:val="superscript"/>
        </w:rPr>
        <w:footnoteReference w:id="12"/>
      </w:r>
      <w:bookmarkEnd w:id="12"/>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月2</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日，O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和巴西启动了一个联合项目，以研究两方出于税收目的而评估联营公司之间的跨境税收规则所用方法的相似性和差异性。该项目还将同时评估巴西的转让定价规则与O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标准融合的可能性，O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转让定价规则是衡量其是否为成员国的关键基准，同时被世界上大部分国家所采用。</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7</w:t>
      </w:r>
      <w:r>
        <w:rPr>
          <w:rFonts w:hint="eastAsia" w:ascii="Times New Roman" w:hAnsi="Times New Roman" w:eastAsia="宋体" w:cs="Times New Roman"/>
          <w:b/>
          <w:sz w:val="24"/>
          <w:szCs w:val="24"/>
        </w:rPr>
        <w:t>.1项目背景</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税收政策领域，国际协调是最需要的。跨境交易是全球贸易的重要组成部分。因此，确保所适用的税收规则在交易中依然有效，是跨境交易税收议程中重要的组成部分。对于政府来说，转让定价是为了确保应税利润不会被人为地转移。对于纳税人来说，转让定价可以减少可能出现的双重征税风险。</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虽然尚未加入OECD，但是作为G20成员国之一</w:t>
      </w:r>
      <w:r>
        <w:rPr>
          <w:rFonts w:ascii="Times New Roman" w:hAnsi="Times New Roman" w:eastAsia="宋体" w:cs="Times New Roman"/>
          <w:sz w:val="24"/>
          <w:szCs w:val="24"/>
        </w:rPr>
        <w:t>，巴西多年来一直与</w:t>
      </w:r>
      <w:r>
        <w:rPr>
          <w:rFonts w:hint="eastAsia" w:ascii="Times New Roman" w:hAnsi="Times New Roman" w:eastAsia="宋体" w:cs="Times New Roman"/>
          <w:sz w:val="24"/>
          <w:szCs w:val="24"/>
        </w:rPr>
        <w:t>OECD</w:t>
      </w:r>
      <w:r>
        <w:rPr>
          <w:rFonts w:ascii="Times New Roman" w:hAnsi="Times New Roman" w:eastAsia="宋体" w:cs="Times New Roman"/>
          <w:sz w:val="24"/>
          <w:szCs w:val="24"/>
        </w:rPr>
        <w:t>就国际税务政策问题密切合作，并且是</w:t>
      </w:r>
      <w:r>
        <w:rPr>
          <w:rFonts w:hint="eastAsia" w:ascii="Times New Roman" w:hAnsi="Times New Roman" w:eastAsia="宋体" w:cs="Times New Roman"/>
          <w:sz w:val="24"/>
          <w:szCs w:val="24"/>
        </w:rPr>
        <w:t>OECD</w:t>
      </w:r>
      <w:r>
        <w:rPr>
          <w:rFonts w:ascii="Times New Roman" w:hAnsi="Times New Roman" w:eastAsia="宋体" w:cs="Times New Roman"/>
          <w:sz w:val="24"/>
          <w:szCs w:val="24"/>
        </w:rPr>
        <w:t>税收透明度和信息交流全球论坛和BEPS包容性框架的成员。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然而，巴西实施的转让定价规则与</w:t>
      </w:r>
      <w:r>
        <w:rPr>
          <w:rFonts w:ascii="Times New Roman" w:hAnsi="Times New Roman" w:eastAsia="宋体" w:cs="Times New Roman"/>
          <w:sz w:val="24"/>
          <w:szCs w:val="24"/>
        </w:rPr>
        <w:t>OECD转让定价准则之间存在着一些重要的差异</w:t>
      </w:r>
      <w:r>
        <w:rPr>
          <w:rFonts w:hint="eastAsia" w:ascii="Times New Roman" w:hAnsi="Times New Roman" w:eastAsia="宋体" w:cs="Times New Roman"/>
          <w:sz w:val="24"/>
          <w:szCs w:val="24"/>
        </w:rPr>
        <w:t>。因此，需要对这些差异进行分析，</w:t>
      </w:r>
      <w:r>
        <w:rPr>
          <w:rFonts w:ascii="Times New Roman" w:hAnsi="Times New Roman" w:eastAsia="宋体" w:cs="Times New Roman"/>
          <w:sz w:val="24"/>
          <w:szCs w:val="24"/>
        </w:rPr>
        <w:t>以便更好地理解</w:t>
      </w:r>
      <w:r>
        <w:rPr>
          <w:rFonts w:hint="eastAsia" w:ascii="Times New Roman" w:hAnsi="Times New Roman" w:eastAsia="宋体" w:cs="Times New Roman"/>
          <w:sz w:val="24"/>
          <w:szCs w:val="24"/>
        </w:rPr>
        <w:t>巴西应用的规则</w:t>
      </w:r>
      <w:r>
        <w:rPr>
          <w:rFonts w:ascii="Times New Roman" w:hAnsi="Times New Roman" w:eastAsia="宋体" w:cs="Times New Roman"/>
          <w:sz w:val="24"/>
          <w:szCs w:val="24"/>
        </w:rPr>
        <w:t>是如何防止双重征税和利润转移</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。在巴西可能加入</w:t>
      </w:r>
      <w:r>
        <w:rPr>
          <w:rFonts w:hint="eastAsia" w:ascii="Times New Roman" w:hAnsi="Times New Roman" w:eastAsia="宋体" w:cs="Times New Roman"/>
          <w:sz w:val="24"/>
          <w:szCs w:val="24"/>
        </w:rPr>
        <w:t>OECD的情况下</w:t>
      </w:r>
      <w:r>
        <w:rPr>
          <w:rFonts w:ascii="Times New Roman" w:hAnsi="Times New Roman" w:eastAsia="宋体" w:cs="Times New Roman"/>
          <w:sz w:val="24"/>
          <w:szCs w:val="24"/>
        </w:rPr>
        <w:t>，转让定价是</w:t>
      </w:r>
      <w:r>
        <w:rPr>
          <w:rFonts w:hint="eastAsia" w:ascii="Times New Roman" w:hAnsi="Times New Roman" w:eastAsia="宋体" w:cs="Times New Roman"/>
          <w:sz w:val="24"/>
          <w:szCs w:val="24"/>
        </w:rPr>
        <w:t>其</w:t>
      </w:r>
      <w:r>
        <w:rPr>
          <w:rFonts w:ascii="Times New Roman" w:hAnsi="Times New Roman" w:eastAsia="宋体" w:cs="Times New Roman"/>
          <w:sz w:val="24"/>
          <w:szCs w:val="24"/>
        </w:rPr>
        <w:t>与</w:t>
      </w:r>
      <w:r>
        <w:rPr>
          <w:rFonts w:hint="eastAsia" w:ascii="Times New Roman" w:hAnsi="Times New Roman" w:eastAsia="宋体" w:cs="Times New Roman"/>
          <w:sz w:val="24"/>
          <w:szCs w:val="24"/>
        </w:rPr>
        <w:t>OECD</w:t>
      </w:r>
      <w:r>
        <w:rPr>
          <w:rFonts w:ascii="Times New Roman" w:hAnsi="Times New Roman" w:eastAsia="宋体" w:cs="Times New Roman"/>
          <w:sz w:val="24"/>
          <w:szCs w:val="24"/>
        </w:rPr>
        <w:t>国际公认的标准进行协调的关键领域之一。这是一个核心原则，是任何希望加入</w:t>
      </w:r>
      <w:r>
        <w:rPr>
          <w:rFonts w:hint="eastAsia" w:ascii="Times New Roman" w:hAnsi="Times New Roman" w:eastAsia="宋体" w:cs="Times New Roman"/>
          <w:sz w:val="24"/>
          <w:szCs w:val="24"/>
        </w:rPr>
        <w:t>OECD</w:t>
      </w:r>
      <w:r>
        <w:rPr>
          <w:rFonts w:ascii="Times New Roman" w:hAnsi="Times New Roman" w:eastAsia="宋体" w:cs="Times New Roman"/>
          <w:sz w:val="24"/>
          <w:szCs w:val="24"/>
        </w:rPr>
        <w:t>的新成员所</w:t>
      </w:r>
      <w:r>
        <w:rPr>
          <w:rFonts w:hint="eastAsia" w:ascii="Times New Roman" w:hAnsi="Times New Roman" w:eastAsia="宋体" w:cs="Times New Roman"/>
          <w:sz w:val="24"/>
          <w:szCs w:val="24"/>
        </w:rPr>
        <w:t>必须遵从</w:t>
      </w:r>
      <w:r>
        <w:rPr>
          <w:rFonts w:ascii="Times New Roman" w:hAnsi="Times New Roman" w:eastAsia="宋体" w:cs="Times New Roman"/>
          <w:sz w:val="24"/>
          <w:szCs w:val="24"/>
        </w:rPr>
        <w:t>的基准。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正是在这一背景下，为了推进与巴西</w:t>
      </w:r>
      <w:r>
        <w:rPr>
          <w:rFonts w:ascii="Times New Roman" w:hAnsi="Times New Roman" w:eastAsia="宋体" w:cs="Times New Roman"/>
          <w:sz w:val="24"/>
          <w:szCs w:val="24"/>
        </w:rPr>
        <w:t>关于转让定价问题的对话，</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ECD与巴西共同发起</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这项关于</w:t>
      </w:r>
      <w:r>
        <w:rPr>
          <w:rFonts w:hint="eastAsia" w:ascii="Times New Roman" w:hAnsi="Times New Roman" w:eastAsia="宋体" w:cs="Times New Roman"/>
          <w:sz w:val="24"/>
          <w:szCs w:val="24"/>
        </w:rPr>
        <w:t>“</w:t>
      </w:r>
      <w:r>
        <w:rPr>
          <w:rFonts w:ascii="Times New Roman" w:hAnsi="Times New Roman" w:eastAsia="宋体" w:cs="Times New Roman"/>
          <w:sz w:val="24"/>
          <w:szCs w:val="24"/>
        </w:rPr>
        <w:t>巴西转</w:t>
      </w:r>
      <w:r>
        <w:rPr>
          <w:rFonts w:hint="eastAsia" w:ascii="Times New Roman" w:hAnsi="Times New Roman" w:eastAsia="宋体" w:cs="Times New Roman"/>
          <w:sz w:val="24"/>
          <w:szCs w:val="24"/>
        </w:rPr>
        <w:t>让</w:t>
      </w:r>
      <w:r>
        <w:rPr>
          <w:rFonts w:ascii="Times New Roman" w:hAnsi="Times New Roman" w:eastAsia="宋体" w:cs="Times New Roman"/>
          <w:sz w:val="24"/>
          <w:szCs w:val="24"/>
        </w:rPr>
        <w:t>定价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的新项目。</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7</w:t>
      </w: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项目内容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OECD</w:t>
      </w:r>
      <w:r>
        <w:rPr>
          <w:rFonts w:hint="eastAsia" w:ascii="Times New Roman" w:hAnsi="Times New Roman" w:eastAsia="宋体" w:cs="Times New Roman"/>
          <w:sz w:val="24"/>
          <w:szCs w:val="24"/>
        </w:rPr>
        <w:t>秘书长</w:t>
      </w:r>
      <w:r>
        <w:rPr>
          <w:rFonts w:ascii="Times New Roman" w:hAnsi="Times New Roman" w:eastAsia="宋体" w:cs="Times New Roman"/>
          <w:sz w:val="24"/>
          <w:szCs w:val="24"/>
        </w:rPr>
        <w:t>Angel Gurría与财政部长Henrique Meirelles</w:t>
      </w:r>
      <w:r>
        <w:rPr>
          <w:rFonts w:hint="eastAsia" w:ascii="Times New Roman" w:hAnsi="Times New Roman" w:eastAsia="宋体" w:cs="Times New Roman"/>
          <w:sz w:val="24"/>
          <w:szCs w:val="24"/>
        </w:rPr>
        <w:t>、</w:t>
      </w:r>
      <w:r>
        <w:rPr>
          <w:rFonts w:ascii="Times New Roman" w:hAnsi="Times New Roman" w:eastAsia="宋体" w:cs="Times New Roman"/>
          <w:sz w:val="24"/>
          <w:szCs w:val="24"/>
        </w:rPr>
        <w:t>联邦税务局局长Jorge Antonio</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R</w:t>
      </w:r>
      <w:r>
        <w:rPr>
          <w:rFonts w:hint="eastAsia" w:ascii="Times New Roman" w:hAnsi="Times New Roman" w:eastAsia="宋体" w:cs="Times New Roman"/>
          <w:sz w:val="24"/>
          <w:szCs w:val="24"/>
        </w:rPr>
        <w:t>achid和巴西全国工业委员会（C</w:t>
      </w:r>
      <w:r>
        <w:rPr>
          <w:rFonts w:ascii="Times New Roman" w:hAnsi="Times New Roman" w:eastAsia="宋体" w:cs="Times New Roman"/>
          <w:sz w:val="24"/>
          <w:szCs w:val="24"/>
        </w:rPr>
        <w:t>NI</w:t>
      </w:r>
      <w:r>
        <w:rPr>
          <w:rFonts w:hint="eastAsia" w:ascii="Times New Roman" w:hAnsi="Times New Roman" w:eastAsia="宋体" w:cs="Times New Roman"/>
          <w:sz w:val="24"/>
          <w:szCs w:val="24"/>
        </w:rPr>
        <w:t>，</w:t>
      </w:r>
      <w:r>
        <w:rPr>
          <w:rFonts w:ascii="Times New Roman" w:hAnsi="Times New Roman" w:eastAsia="宋体" w:cs="Times New Roman"/>
          <w:sz w:val="24"/>
          <w:szCs w:val="24"/>
        </w:rPr>
        <w:t>National Confederation of Industry</w:t>
      </w:r>
      <w:r>
        <w:rPr>
          <w:rFonts w:hint="eastAsia" w:ascii="Times New Roman" w:hAnsi="Times New Roman" w:eastAsia="宋体" w:cs="Times New Roman"/>
          <w:sz w:val="24"/>
          <w:szCs w:val="24"/>
        </w:rPr>
        <w:t>）主席</w:t>
      </w:r>
      <w:r>
        <w:rPr>
          <w:rFonts w:ascii="Times New Roman" w:hAnsi="Times New Roman" w:eastAsia="宋体" w:cs="Times New Roman"/>
          <w:sz w:val="24"/>
          <w:szCs w:val="24"/>
        </w:rPr>
        <w:t>Robson Braga de Andrade一起启动</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该项目</w:t>
      </w:r>
      <w:r>
        <w:rPr>
          <w:rFonts w:hint="eastAsia" w:ascii="Times New Roman" w:hAnsi="Times New Roman" w:eastAsia="宋体" w:cs="Times New Roman"/>
          <w:sz w:val="24"/>
          <w:szCs w:val="24"/>
        </w:rPr>
        <w:t>。为期</w:t>
      </w:r>
      <w:r>
        <w:rPr>
          <w:rFonts w:ascii="Times New Roman" w:hAnsi="Times New Roman" w:eastAsia="宋体" w:cs="Times New Roman"/>
          <w:sz w:val="24"/>
          <w:szCs w:val="24"/>
        </w:rPr>
        <w:t>15个月的</w:t>
      </w:r>
      <w:r>
        <w:rPr>
          <w:rFonts w:hint="eastAsia" w:ascii="Times New Roman" w:hAnsi="Times New Roman" w:eastAsia="宋体" w:cs="Times New Roman"/>
          <w:sz w:val="24"/>
          <w:szCs w:val="24"/>
        </w:rPr>
        <w:t>联合项目</w:t>
      </w:r>
      <w:r>
        <w:rPr>
          <w:rFonts w:ascii="Times New Roman" w:hAnsi="Times New Roman" w:eastAsia="宋体" w:cs="Times New Roman"/>
          <w:sz w:val="24"/>
          <w:szCs w:val="24"/>
        </w:rPr>
        <w:t>将分析巴西转让定价制度背后的法律和行政框架以及</w:t>
      </w:r>
      <w:r>
        <w:rPr>
          <w:rFonts w:hint="eastAsia" w:ascii="Times New Roman" w:hAnsi="Times New Roman" w:eastAsia="宋体" w:cs="Times New Roman"/>
          <w:sz w:val="24"/>
          <w:szCs w:val="24"/>
        </w:rPr>
        <w:t>制度</w:t>
      </w:r>
      <w:r>
        <w:rPr>
          <w:rFonts w:ascii="Times New Roman" w:hAnsi="Times New Roman" w:eastAsia="宋体" w:cs="Times New Roman"/>
          <w:sz w:val="24"/>
          <w:szCs w:val="24"/>
        </w:rPr>
        <w:t>执行情况。</w:t>
      </w:r>
      <w:r>
        <w:rPr>
          <w:rFonts w:hint="eastAsia" w:ascii="Times New Roman" w:hAnsi="Times New Roman" w:eastAsia="宋体" w:cs="Times New Roman"/>
          <w:sz w:val="24"/>
          <w:szCs w:val="24"/>
        </w:rPr>
        <w:t>该项目</w:t>
      </w:r>
      <w:r>
        <w:rPr>
          <w:rFonts w:ascii="Times New Roman" w:hAnsi="Times New Roman" w:eastAsia="宋体" w:cs="Times New Roman"/>
          <w:sz w:val="24"/>
          <w:szCs w:val="24"/>
        </w:rPr>
        <w:t>将审查巴西</w:t>
      </w:r>
      <w:r>
        <w:rPr>
          <w:rFonts w:hint="eastAsia" w:ascii="Times New Roman" w:hAnsi="Times New Roman" w:eastAsia="宋体" w:cs="Times New Roman"/>
          <w:sz w:val="24"/>
          <w:szCs w:val="24"/>
        </w:rPr>
        <w:t>转让定价方法</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优点</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缺</w:t>
      </w:r>
      <w:r>
        <w:rPr>
          <w:rFonts w:ascii="Times New Roman" w:hAnsi="Times New Roman" w:eastAsia="宋体" w:cs="Times New Roman"/>
          <w:sz w:val="24"/>
          <w:szCs w:val="24"/>
        </w:rPr>
        <w:t>点，同时探索</w:t>
      </w:r>
      <w:r>
        <w:rPr>
          <w:rFonts w:hint="eastAsia" w:ascii="Times New Roman" w:hAnsi="Times New Roman" w:eastAsia="宋体" w:cs="Times New Roman"/>
          <w:sz w:val="24"/>
          <w:szCs w:val="24"/>
        </w:rPr>
        <w:t>该方法</w:t>
      </w:r>
      <w:r>
        <w:rPr>
          <w:rFonts w:ascii="Times New Roman" w:hAnsi="Times New Roman" w:eastAsia="宋体" w:cs="Times New Roman"/>
          <w:sz w:val="24"/>
          <w:szCs w:val="24"/>
        </w:rPr>
        <w:t>与</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ECD国际公认</w:t>
      </w:r>
      <w:r>
        <w:rPr>
          <w:rFonts w:hint="eastAsia" w:ascii="Times New Roman" w:hAnsi="Times New Roman" w:eastAsia="宋体" w:cs="Times New Roman"/>
          <w:sz w:val="24"/>
          <w:szCs w:val="24"/>
        </w:rPr>
        <w:t>准则在评判标准上的一致性。</w:t>
      </w:r>
      <w:r>
        <w:rPr>
          <w:rFonts w:ascii="Times New Roman" w:hAnsi="Times New Roman" w:eastAsia="宋体" w:cs="Times New Roman"/>
          <w:sz w:val="24"/>
          <w:szCs w:val="24"/>
        </w:rPr>
        <w:t>这将是未来</w:t>
      </w:r>
      <w:r>
        <w:rPr>
          <w:rFonts w:hint="eastAsia" w:ascii="Times New Roman" w:hAnsi="Times New Roman" w:eastAsia="宋体" w:cs="Times New Roman"/>
          <w:sz w:val="24"/>
          <w:szCs w:val="24"/>
        </w:rPr>
        <w:t>巴西</w:t>
      </w:r>
      <w:r>
        <w:rPr>
          <w:rFonts w:ascii="Times New Roman" w:hAnsi="Times New Roman" w:eastAsia="宋体" w:cs="Times New Roman"/>
          <w:sz w:val="24"/>
          <w:szCs w:val="24"/>
        </w:rPr>
        <w:t>加入</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ECD过程</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重要组成部分。</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7</w:t>
      </w:r>
      <w:r>
        <w:rPr>
          <w:rFonts w:ascii="Times New Roman" w:hAnsi="Times New Roman" w:eastAsia="宋体" w:cs="Times New Roman"/>
          <w:b/>
          <w:sz w:val="24"/>
          <w:szCs w:val="24"/>
        </w:rPr>
        <w:t>.3</w:t>
      </w:r>
      <w:r>
        <w:rPr>
          <w:rFonts w:hint="eastAsia" w:ascii="Times New Roman" w:hAnsi="Times New Roman" w:eastAsia="宋体" w:cs="Times New Roman"/>
          <w:b/>
          <w:sz w:val="24"/>
          <w:szCs w:val="24"/>
        </w:rPr>
        <w:t>项目意义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OECD</w:t>
      </w:r>
      <w:r>
        <w:rPr>
          <w:rFonts w:hint="eastAsia" w:ascii="Times New Roman" w:hAnsi="Times New Roman" w:eastAsia="宋体" w:cs="Times New Roman"/>
          <w:sz w:val="24"/>
          <w:szCs w:val="24"/>
        </w:rPr>
        <w:t>秘书长表示，</w:t>
      </w:r>
      <w:r>
        <w:rPr>
          <w:rFonts w:ascii="Times New Roman" w:hAnsi="Times New Roman" w:eastAsia="宋体" w:cs="Times New Roman"/>
          <w:sz w:val="24"/>
          <w:szCs w:val="24"/>
        </w:rPr>
        <w:t>巴西是</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ECD的主要合作伙伴，很高兴</w:t>
      </w:r>
      <w:r>
        <w:rPr>
          <w:rFonts w:hint="eastAsia" w:ascii="Times New Roman" w:hAnsi="Times New Roman" w:eastAsia="宋体" w:cs="Times New Roman"/>
          <w:sz w:val="24"/>
          <w:szCs w:val="24"/>
        </w:rPr>
        <w:t>能同巴西一起</w:t>
      </w:r>
      <w:r>
        <w:rPr>
          <w:rFonts w:ascii="Times New Roman" w:hAnsi="Times New Roman" w:eastAsia="宋体" w:cs="Times New Roman"/>
          <w:sz w:val="24"/>
          <w:szCs w:val="24"/>
        </w:rPr>
        <w:t>共同采取措施弥补转让定​​价方面的差距。</w:t>
      </w:r>
      <w:r>
        <w:rPr>
          <w:rFonts w:hint="eastAsia" w:ascii="Times New Roman" w:hAnsi="Times New Roman" w:eastAsia="宋体" w:cs="Times New Roman"/>
          <w:sz w:val="24"/>
          <w:szCs w:val="24"/>
        </w:rPr>
        <w:t>有效的转让定价规则对于避免双重征税和确保应税利润不会被人为地转移而言是关键的。此次启动的项目将使O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能够更好地理解和改善巴西转让定价规则的应用，并实现与O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标准更好的融合。这将有助于改善巴西的投资环境，降低双重征税的风险。</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长期以来一直致力于制定通用的转让定价办法。在</w:t>
      </w:r>
      <w:r>
        <w:rPr>
          <w:rFonts w:ascii="Times New Roman" w:hAnsi="Times New Roman" w:eastAsia="宋体" w:cs="Times New Roman"/>
          <w:sz w:val="24"/>
          <w:szCs w:val="24"/>
        </w:rPr>
        <w:t>1979年的报告</w:t>
      </w:r>
      <w:r>
        <w:rPr>
          <w:rFonts w:hint="eastAsia" w:ascii="Times New Roman" w:hAnsi="Times New Roman" w:eastAsia="宋体" w:cs="Times New Roman"/>
          <w:sz w:val="24"/>
          <w:szCs w:val="24"/>
        </w:rPr>
        <w:t>《</w:t>
      </w:r>
      <w:r>
        <w:rPr>
          <w:rFonts w:ascii="Times New Roman" w:hAnsi="Times New Roman" w:eastAsia="宋体" w:cs="Times New Roman"/>
          <w:sz w:val="24"/>
          <w:szCs w:val="24"/>
        </w:rPr>
        <w:t>转移定价和跨国企业</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的基础上，</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w:t>
      </w:r>
      <w:r>
        <w:rPr>
          <w:rFonts w:hint="eastAsia" w:ascii="Times New Roman" w:hAnsi="Times New Roman" w:eastAsia="宋体" w:cs="Times New Roman"/>
          <w:sz w:val="24"/>
          <w:szCs w:val="24"/>
        </w:rPr>
        <w:t>制定了对跨国企业和税收管理机构的转让定价指导方针。该方针制定于1</w:t>
      </w:r>
      <w:r>
        <w:rPr>
          <w:rFonts w:ascii="Times New Roman" w:hAnsi="Times New Roman" w:eastAsia="宋体" w:cs="Times New Roman"/>
          <w:sz w:val="24"/>
          <w:szCs w:val="24"/>
        </w:rPr>
        <w:t>995</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并于2017年更新</w:t>
      </w:r>
      <w:r>
        <w:rPr>
          <w:rFonts w:hint="eastAsia" w:ascii="Times New Roman" w:hAnsi="Times New Roman" w:eastAsia="宋体" w:cs="Times New Roman"/>
          <w:sz w:val="24"/>
          <w:szCs w:val="24"/>
        </w:rPr>
        <w:t>，将OECD</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最新</w:t>
      </w:r>
      <w:r>
        <w:rPr>
          <w:rFonts w:ascii="Times New Roman" w:hAnsi="Times New Roman" w:eastAsia="宋体" w:cs="Times New Roman"/>
          <w:sz w:val="24"/>
          <w:szCs w:val="24"/>
        </w:rPr>
        <w:t>工作成果</w:t>
      </w:r>
      <w:r>
        <w:rPr>
          <w:rFonts w:hint="eastAsia" w:ascii="Times New Roman" w:hAnsi="Times New Roman" w:eastAsia="宋体" w:cs="Times New Roman"/>
          <w:sz w:val="24"/>
          <w:szCs w:val="24"/>
        </w:rPr>
        <w:t>纳入</w:t>
      </w:r>
      <w:r>
        <w:rPr>
          <w:rFonts w:ascii="Times New Roman" w:hAnsi="Times New Roman" w:eastAsia="宋体" w:cs="Times New Roman"/>
          <w:sz w:val="24"/>
          <w:szCs w:val="24"/>
        </w:rPr>
        <w:t>抵制</w:t>
      </w:r>
      <w:r>
        <w:rPr>
          <w:rFonts w:hint="eastAsia" w:ascii="Times New Roman" w:hAnsi="Times New Roman" w:eastAsia="宋体" w:cs="Times New Roman"/>
          <w:sz w:val="24"/>
          <w:szCs w:val="24"/>
        </w:rPr>
        <w:t>税基侵蚀</w:t>
      </w:r>
      <w:r>
        <w:rPr>
          <w:rFonts w:ascii="Times New Roman" w:hAnsi="Times New Roman" w:eastAsia="宋体" w:cs="Times New Roman"/>
          <w:sz w:val="24"/>
          <w:szCs w:val="24"/>
        </w:rPr>
        <w:t>和利润转移</w:t>
      </w:r>
      <w:r>
        <w:rPr>
          <w:rFonts w:hint="eastAsia" w:ascii="Times New Roman" w:hAnsi="Times New Roman" w:eastAsia="宋体" w:cs="Times New Roman"/>
          <w:sz w:val="24"/>
          <w:szCs w:val="24"/>
        </w:rPr>
        <w:t>的工作中。该方针被世界上大多数国家所采用，</w:t>
      </w:r>
      <w:r>
        <w:rPr>
          <w:rFonts w:ascii="Times New Roman" w:hAnsi="Times New Roman" w:eastAsia="宋体" w:cs="Times New Roman"/>
          <w:sz w:val="24"/>
          <w:szCs w:val="24"/>
        </w:rPr>
        <w:t>反映了</w:t>
      </w:r>
      <w:r>
        <w:rPr>
          <w:rFonts w:hint="eastAsia" w:ascii="Times New Roman" w:hAnsi="Times New Roman" w:eastAsia="宋体" w:cs="Times New Roman"/>
          <w:sz w:val="24"/>
          <w:szCs w:val="24"/>
        </w:rPr>
        <w:t>这些国家</w:t>
      </w:r>
      <w:r>
        <w:rPr>
          <w:rFonts w:ascii="Times New Roman" w:hAnsi="Times New Roman" w:eastAsia="宋体" w:cs="Times New Roman"/>
          <w:sz w:val="24"/>
          <w:szCs w:val="24"/>
        </w:rPr>
        <w:t>对如何应用</w:t>
      </w:r>
      <w:r>
        <w:rPr>
          <w:rFonts w:hint="eastAsia" w:ascii="Times New Roman" w:hAnsi="Times New Roman" w:eastAsia="宋体" w:cs="Times New Roman"/>
          <w:sz w:val="24"/>
          <w:szCs w:val="24"/>
        </w:rPr>
        <w:t>O</w:t>
      </w:r>
      <w:r>
        <w:rPr>
          <w:rFonts w:ascii="Times New Roman" w:hAnsi="Times New Roman" w:eastAsia="宋体" w:cs="Times New Roman"/>
          <w:sz w:val="24"/>
          <w:szCs w:val="24"/>
        </w:rPr>
        <w:t>ECD税务公约</w:t>
      </w:r>
      <w:r>
        <w:rPr>
          <w:rFonts w:hint="eastAsia" w:ascii="Times New Roman" w:hAnsi="Times New Roman" w:eastAsia="宋体" w:cs="Times New Roman"/>
          <w:sz w:val="24"/>
          <w:szCs w:val="24"/>
        </w:rPr>
        <w:t>范本</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联合国</w:t>
      </w:r>
      <w:r>
        <w:rPr>
          <w:rFonts w:ascii="Times New Roman" w:hAnsi="Times New Roman" w:eastAsia="宋体" w:cs="Times New Roman"/>
          <w:sz w:val="24"/>
          <w:szCs w:val="24"/>
        </w:rPr>
        <w:t>税务公约范本中所包含的公平原则的共同理解。</w:t>
      </w:r>
    </w:p>
    <w:p>
      <w:pPr>
        <w:spacing w:line="360" w:lineRule="auto"/>
        <w:ind w:firstLine="480" w:firstLineChars="200"/>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rPr>
      </w:pP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tLeast"/>
        <w:rPr>
          <w:rFonts w:ascii="Times New Roman" w:hAnsi="Times New Roman" w:eastAsia="楷体_GB2312" w:cs="Times New Roman"/>
          <w:b/>
          <w:color w:val="002060"/>
          <w:sz w:val="32"/>
          <w:szCs w:val="32"/>
        </w:rPr>
      </w:pPr>
      <w:r>
        <w:rPr>
          <w:rFonts w:ascii="Times New Roman" w:hAnsi="Times New Roman" w:eastAsia="楷体_GB2312" w:cs="Times New Roman"/>
          <w:b/>
          <w:color w:val="002060"/>
          <w:sz w:val="32"/>
          <w:szCs w:val="32"/>
        </w:rPr>
        <w:t>智库视野</w:t>
      </w:r>
    </w:p>
    <w:p>
      <w:pPr>
        <w:spacing w:line="360" w:lineRule="atLeast"/>
        <w:ind w:left="-141" w:leftChars="-67"/>
        <w:rPr>
          <w:rFonts w:ascii="Times New Roman" w:hAnsi="Times New Roman" w:cs="Times New Roman"/>
          <w:color w:val="002060"/>
        </w:rPr>
      </w:pPr>
      <w:r>
        <w:rPr>
          <w:rFonts w:ascii="Times New Roman" w:hAnsi="Times New Roman" w:cs="Times New Roman"/>
          <w:color w:val="002060"/>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rFonts w:ascii="Times New Roman" w:hAnsi="Times New Roman" w:cs="Times New Roman"/>
          <w:color w:val="002060"/>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pPr>
        <w:spacing w:line="360" w:lineRule="atLeast"/>
        <w:ind w:firstLine="141" w:firstLineChars="67"/>
        <w:rPr>
          <w:rFonts w:ascii="Times New Roman" w:hAnsi="Times New Roman" w:eastAsia="楷体" w:cs="Times New Roman"/>
          <w:b/>
          <w:color w:val="002060"/>
        </w:rPr>
      </w:pPr>
      <w:r>
        <w:rPr>
          <w:rFonts w:ascii="Times New Roman" w:hAnsi="Times New Roman" w:eastAsia="楷体" w:cs="Times New Roman"/>
          <w:b/>
          <w:color w:val="002060"/>
        </w:rPr>
        <w:t>研究院微信     研究院微博</w:t>
      </w:r>
    </w:p>
    <w:p>
      <w:pPr>
        <w:autoSpaceDE w:val="0"/>
        <w:autoSpaceDN w:val="0"/>
        <w:adjustRightInd w:val="0"/>
        <w:spacing w:line="360" w:lineRule="atLeast"/>
        <w:rPr>
          <w:rFonts w:ascii="Times New Roman" w:hAnsi="Times New Roman" w:eastAsia="宋体" w:cs="Times New Roman"/>
          <w:color w:val="002060"/>
          <w:sz w:val="28"/>
          <w:szCs w:val="28"/>
        </w:rPr>
      </w:pPr>
    </w:p>
    <w:p>
      <w:pPr>
        <w:autoSpaceDE w:val="0"/>
        <w:autoSpaceDN w:val="0"/>
        <w:adjustRightInd w:val="0"/>
        <w:spacing w:line="360" w:lineRule="atLeast"/>
        <w:rPr>
          <w:rFonts w:ascii="Times New Roman" w:hAnsi="Times New Roman" w:eastAsia="宋体" w:cs="Times New Roman"/>
          <w:color w:val="002060"/>
          <w:sz w:val="28"/>
          <w:szCs w:val="28"/>
        </w:rPr>
      </w:pPr>
    </w:p>
    <w:p>
      <w:pPr>
        <w:autoSpaceDE w:val="0"/>
        <w:autoSpaceDN w:val="0"/>
        <w:adjustRightInd w:val="0"/>
        <w:spacing w:line="360" w:lineRule="atLeast"/>
        <w:rPr>
          <w:rFonts w:ascii="Times New Roman" w:hAnsi="Times New Roman" w:eastAsia="宋体" w:cs="Times New Roman"/>
          <w:color w:val="002060"/>
          <w:sz w:val="28"/>
          <w:szCs w:val="28"/>
        </w:rPr>
      </w:pPr>
    </w:p>
    <w:p>
      <w:pPr>
        <w:autoSpaceDE w:val="0"/>
        <w:autoSpaceDN w:val="0"/>
        <w:adjustRightInd w:val="0"/>
        <w:spacing w:line="360" w:lineRule="atLeast"/>
        <w:jc w:val="center"/>
        <w:rPr>
          <w:rFonts w:ascii="Times New Roman" w:hAnsi="Times New Roman" w:eastAsia="宋体" w:cs="Times New Roman"/>
          <w:color w:val="002060"/>
          <w:sz w:val="28"/>
          <w:szCs w:val="28"/>
        </w:rPr>
      </w:pPr>
      <w:r>
        <w:rPr>
          <w:rFonts w:ascii="Times New Roman" w:hAnsi="Times New Roman" w:eastAsia="楷体_GB2312" w:cs="Times New Roman"/>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pPr>
        <w:autoSpaceDE w:val="0"/>
        <w:autoSpaceDN w:val="0"/>
        <w:adjustRightInd w:val="0"/>
        <w:spacing w:line="360" w:lineRule="atLeast"/>
        <w:rPr>
          <w:rFonts w:ascii="Times New Roman" w:hAnsi="Times New Roman" w:eastAsia="宋体" w:cs="Times New Roman"/>
          <w:color w:val="002060"/>
          <w:sz w:val="28"/>
          <w:szCs w:val="28"/>
        </w:rPr>
      </w:pPr>
    </w:p>
    <w:p>
      <w:pPr>
        <w:autoSpaceDE w:val="0"/>
        <w:autoSpaceDN w:val="0"/>
        <w:adjustRightInd w:val="0"/>
        <w:spacing w:line="360" w:lineRule="atLeast"/>
        <w:rPr>
          <w:rFonts w:ascii="Times New Roman" w:hAnsi="Times New Roman" w:eastAsia="宋体" w:cs="Times New Roman"/>
          <w:color w:val="002060"/>
          <w:sz w:val="28"/>
          <w:szCs w:val="28"/>
        </w:rPr>
      </w:pPr>
    </w:p>
    <w:p>
      <w:pPr>
        <w:autoSpaceDE w:val="0"/>
        <w:autoSpaceDN w:val="0"/>
        <w:adjustRightInd w:val="0"/>
        <w:spacing w:line="360" w:lineRule="atLeast"/>
        <w:rPr>
          <w:rFonts w:ascii="Times New Roman" w:hAnsi="Times New Roman" w:eastAsia="楷体" w:cs="Times New Roman"/>
          <w:b/>
          <w:color w:val="002060"/>
          <w:sz w:val="28"/>
          <w:szCs w:val="28"/>
        </w:rPr>
      </w:pP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主办</w:t>
      </w: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上海财经大学公共政策与治理研究院</w:t>
      </w: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上海市国定路777 号</w:t>
      </w: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邮政编码：200433</w:t>
      </w: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电话:（021）6590 8706</w:t>
      </w:r>
    </w:p>
    <w:p>
      <w:pPr>
        <w:autoSpaceDE w:val="0"/>
        <w:autoSpaceDN w:val="0"/>
        <w:adjustRightInd w:val="0"/>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86 158 2174 6491（田志伟）</w:t>
      </w:r>
    </w:p>
    <w:p>
      <w:pPr>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官方微博:e.weibo.com/u/3932265304</w:t>
      </w:r>
    </w:p>
    <w:p>
      <w:pPr>
        <w:spacing w:line="360" w:lineRule="atLeast"/>
        <w:jc w:val="right"/>
        <w:rPr>
          <w:rFonts w:ascii="Times New Roman" w:hAnsi="Times New Roman" w:eastAsia="楷体" w:cs="Times New Roman"/>
          <w:b/>
          <w:color w:val="002060"/>
        </w:rPr>
      </w:pPr>
      <w:r>
        <w:rPr>
          <w:rFonts w:ascii="Times New Roman" w:hAnsi="Times New Roman" w:eastAsia="楷体" w:cs="Times New Roman"/>
          <w:b/>
          <w:color w:val="002060"/>
        </w:rPr>
        <w:t xml:space="preserve"> 邮箱：120286069@qq.com</w:t>
      </w:r>
    </w:p>
    <w:p>
      <w:pPr>
        <w:adjustRightInd w:val="0"/>
        <w:snapToGrid w:val="0"/>
        <w:spacing w:line="360" w:lineRule="auto"/>
        <w:rPr>
          <w:rFonts w:ascii="Times New Roman" w:hAnsi="Times New Roman" w:eastAsia="楷体" w:cs="Times New Roman"/>
        </w:rPr>
      </w:pPr>
    </w:p>
    <w:p>
      <w:pPr>
        <w:snapToGrid w:val="0"/>
        <w:spacing w:line="360" w:lineRule="auto"/>
        <w:rPr>
          <w:rFonts w:ascii="Times New Roman" w:hAnsi="Times New Roman" w:eastAsia="宋体" w:cs="Times New Roman"/>
          <w:sz w:val="24"/>
          <w:szCs w:val="24"/>
        </w:rPr>
      </w:pPr>
    </w:p>
    <w:p>
      <w:pPr>
        <w:snapToGrid w:val="0"/>
        <w:spacing w:line="360" w:lineRule="auto"/>
        <w:ind w:firstLine="420"/>
        <w:rPr>
          <w:rFonts w:ascii="Times New Roman" w:hAnsi="Times New Roman" w:eastAsia="宋体" w:cs="Times New Roman"/>
          <w:sz w:val="24"/>
          <w:szCs w:val="24"/>
        </w:rPr>
      </w:pPr>
    </w:p>
    <w:p>
      <w:pPr>
        <w:snapToGrid w:val="0"/>
        <w:spacing w:line="360" w:lineRule="auto"/>
        <w:ind w:firstLine="480" w:firstLineChars="200"/>
        <w:rPr>
          <w:rFonts w:ascii="Times New Roman" w:hAnsi="Times New Roman" w:cs="Times New Roman"/>
          <w:sz w:val="24"/>
          <w:szCs w:val="24"/>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snapToGrid w:val="0"/>
        <w:jc w:val="left"/>
        <w:outlineLvl w:val="0"/>
        <w:rPr>
          <w:rFonts w:ascii="Times New Roman" w:hAnsi="Times New Roman" w:eastAsia="宋体"/>
          <w:sz w:val="18"/>
          <w:szCs w:val="18"/>
        </w:rPr>
      </w:pPr>
      <w:r>
        <w:rPr>
          <w:rStyle w:val="20"/>
        </w:rPr>
        <w:footnoteRef/>
      </w:r>
      <w:r>
        <w:rPr>
          <w:rFonts w:hint="eastAsia"/>
        </w:rPr>
        <w:t xml:space="preserve"> </w:t>
      </w:r>
      <w:r>
        <w:rPr>
          <w:rFonts w:hint="eastAsia"/>
          <w:sz w:val="18"/>
          <w:szCs w:val="18"/>
        </w:rPr>
        <w:t>资料来源：</w:t>
      </w:r>
      <w:r>
        <w:rPr>
          <w:rFonts w:ascii="Times New Roman" w:hAnsi="Times New Roman" w:eastAsia="宋体"/>
          <w:sz w:val="18"/>
          <w:szCs w:val="18"/>
        </w:rPr>
        <w:t>OECD/2018,</w:t>
      </w:r>
      <w:r>
        <w:rPr>
          <w:rFonts w:ascii="Times New Roman" w:hAnsi="Times New Roman" w:eastAsia="Times New Roman"/>
          <w:bCs/>
          <w:color w:val="111111"/>
          <w:kern w:val="36"/>
          <w:sz w:val="18"/>
          <w:szCs w:val="18"/>
        </w:rPr>
        <w:t xml:space="preserve"> </w:t>
      </w:r>
      <w:r>
        <w:rPr>
          <w:rFonts w:ascii="Times New Roman" w:hAnsi="Times New Roman" w:eastAsia="宋体"/>
          <w:sz w:val="18"/>
          <w:szCs w:val="18"/>
        </w:rPr>
        <w:t>OECD announces further developments in BEPS implementation, OECD Publishing, Paris.http://www.oecd.org/ctp/beps/oecd-announces-further-developments-in-beps-implementation-february-2018.htm</w:t>
      </w:r>
    </w:p>
  </w:footnote>
  <w:footnote w:id="1">
    <w:p>
      <w:pPr>
        <w:pStyle w:val="13"/>
        <w:rPr>
          <w:rFonts w:ascii="Times New Roman" w:hAnsi="Times New Roman" w:eastAsia="宋体"/>
        </w:rPr>
      </w:pPr>
      <w:r>
        <w:rPr>
          <w:rStyle w:val="20"/>
          <w:rFonts w:ascii="Times New Roman" w:hAnsi="Times New Roman" w:eastAsia="宋体"/>
        </w:rPr>
        <w:footnoteRef/>
      </w:r>
      <w:r>
        <w:rPr>
          <w:rFonts w:hint="eastAsia"/>
        </w:rPr>
        <w:t xml:space="preserve"> 资料来源：</w:t>
      </w:r>
      <w:r>
        <w:rPr>
          <w:rFonts w:ascii="Times New Roman" w:hAnsi="Times New Roman" w:eastAsia="宋体"/>
        </w:rPr>
        <w:t>OECD /(2018),releases consultation document on misuse of residence by investment schemes to circumvent the Common Reporting Standard ,OECD Publishing,Paris.</w:t>
      </w:r>
    </w:p>
    <w:p>
      <w:pPr>
        <w:pStyle w:val="13"/>
        <w:rPr>
          <w:rFonts w:ascii="Times New Roman" w:hAnsi="Times New Roman" w:eastAsia="宋体"/>
        </w:rPr>
      </w:pPr>
      <w:r>
        <w:rPr>
          <w:rFonts w:ascii="Times New Roman" w:hAnsi="Times New Roman" w:eastAsia="宋体"/>
        </w:rPr>
        <w:t>http://www.oecd.org/tax/exchange-of-tax-information/oecd-releases-consultation-document-on-misuse-of-residence-by-investment-schemes-to-circumvent-the-common-reporting-standard.htm</w:t>
      </w:r>
    </w:p>
  </w:footnote>
  <w:footnote w:id="2">
    <w:p>
      <w:pPr>
        <w:pStyle w:val="13"/>
        <w:rPr>
          <w:rFonts w:ascii="Times New Roman" w:hAnsi="Times New Roman" w:eastAsia="宋体"/>
        </w:rPr>
      </w:pPr>
      <w:r>
        <w:rPr>
          <w:rStyle w:val="20"/>
        </w:rPr>
        <w:footnoteRef/>
      </w:r>
      <w:r>
        <w:rPr>
          <w:rFonts w:hint="eastAsia"/>
        </w:rPr>
        <w:t xml:space="preserve"> 资料来源：</w:t>
      </w:r>
      <w:r>
        <w:rPr>
          <w:rFonts w:hint="eastAsia" w:ascii="Times New Roman" w:hAnsi="Times New Roman" w:eastAsia="宋体"/>
        </w:rPr>
        <w:t>买个外国护照和居民身份就能规避</w:t>
      </w:r>
      <w:r>
        <w:rPr>
          <w:rFonts w:ascii="Times New Roman" w:hAnsi="Times New Roman" w:eastAsia="宋体"/>
        </w:rPr>
        <w:t>CRS</w:t>
      </w:r>
      <w:r>
        <w:rPr>
          <w:rFonts w:hint="eastAsia" w:ascii="Times New Roman" w:hAnsi="Times New Roman" w:eastAsia="宋体"/>
        </w:rPr>
        <w:t>申报？太天真！</w:t>
      </w:r>
      <w:r>
        <w:rPr>
          <w:rFonts w:ascii="Times New Roman" w:hAnsi="Times New Roman" w:eastAsia="宋体"/>
        </w:rPr>
        <w:t>(</w:t>
      </w:r>
      <w:r>
        <w:rPr>
          <w:rFonts w:hint="eastAsia" w:ascii="Times New Roman" w:hAnsi="Times New Roman" w:eastAsia="宋体"/>
        </w:rPr>
        <w:t>上篇</w:t>
      </w:r>
      <w:r>
        <w:rPr>
          <w:rFonts w:ascii="Times New Roman" w:hAnsi="Times New Roman" w:eastAsia="宋体"/>
        </w:rPr>
        <w:t>)</w:t>
      </w:r>
    </w:p>
    <w:p>
      <w:pPr>
        <w:pStyle w:val="13"/>
        <w:rPr>
          <w:rFonts w:ascii="Times New Roman" w:hAnsi="Times New Roman" w:eastAsia="宋体"/>
        </w:rPr>
      </w:pPr>
      <w:r>
        <w:rPr>
          <w:rFonts w:ascii="Times New Roman" w:hAnsi="Times New Roman" w:eastAsia="宋体"/>
        </w:rPr>
        <w:t>http://www.360doc.com/content/17/0603/02/31317912_659438949.shtml</w:t>
      </w:r>
    </w:p>
  </w:footnote>
  <w:footnote w:id="3">
    <w:p>
      <w:pPr>
        <w:pStyle w:val="13"/>
      </w:pPr>
      <w:r>
        <w:rPr>
          <w:rStyle w:val="20"/>
        </w:rPr>
        <w:footnoteRef/>
      </w:r>
      <w:r>
        <w:rPr>
          <w:rFonts w:hint="eastAsia"/>
        </w:rPr>
        <w:t xml:space="preserve"> 资料来源：</w:t>
      </w:r>
      <w:r>
        <w:rPr>
          <w:rFonts w:ascii="Times New Roman" w:hAnsi="Times New Roman" w:eastAsia="宋体"/>
        </w:rPr>
        <w:t xml:space="preserve">OECD/(2018), </w:t>
      </w:r>
      <w:r>
        <w:rPr>
          <w:rFonts w:ascii="Times New Roman" w:hAnsi="Times New Roman" w:cs="Times New Roman"/>
        </w:rPr>
        <w:t>PREVENTING ABUSE OF RESIDENCE BY INVESTMENT SCHEMES TO CIRCUMVENT THE CRS</w:t>
      </w:r>
      <w:r>
        <w:rPr>
          <w:rFonts w:ascii="Times New Roman" w:hAnsi="Times New Roman" w:eastAsia="宋体"/>
        </w:rPr>
        <w:t>, OECD Publishing, Paris. http://www.oecd.org/tax/exchange-of-tax-information/consultation-document-preventing-abuse-of-residence-by-investment-schemes.pdf</w:t>
      </w:r>
    </w:p>
  </w:footnote>
  <w:footnote w:id="4">
    <w:p>
      <w:pPr>
        <w:pStyle w:val="13"/>
      </w:pPr>
      <w:r>
        <w:rPr>
          <w:rStyle w:val="20"/>
        </w:rPr>
        <w:footnoteRef/>
      </w:r>
      <w:r>
        <w:rPr>
          <w:rFonts w:hint="eastAsia"/>
        </w:rPr>
        <w:t xml:space="preserve"> 资料来源：</w:t>
      </w:r>
      <w:r>
        <w:rPr>
          <w:rFonts w:ascii="Times New Roman" w:hAnsi="Times New Roman" w:eastAsia="宋体"/>
        </w:rPr>
        <w:t>OECD</w:t>
      </w:r>
      <w:r>
        <w:rPr>
          <w:rFonts w:hint="eastAsia" w:ascii="Times New Roman" w:hAnsi="Times New Roman" w:eastAsia="宋体"/>
        </w:rPr>
        <w:t>大动作，打造小联合国式家庭来规避</w:t>
      </w:r>
      <w:r>
        <w:rPr>
          <w:rFonts w:ascii="Times New Roman" w:hAnsi="Times New Roman" w:eastAsia="宋体"/>
        </w:rPr>
        <w:t>CRS</w:t>
      </w:r>
      <w:r>
        <w:rPr>
          <w:rFonts w:hint="eastAsia" w:ascii="Times New Roman" w:hAnsi="Times New Roman" w:eastAsia="宋体"/>
        </w:rPr>
        <w:t>，</w:t>
      </w:r>
      <w:r>
        <w:rPr>
          <w:rFonts w:ascii="Times New Roman" w:hAnsi="Times New Roman" w:eastAsia="宋体"/>
        </w:rPr>
        <w:t>http://www.molingshu.com/56/44266.html</w:t>
      </w:r>
    </w:p>
  </w:footnote>
  <w:footnote w:id="5">
    <w:p>
      <w:pPr>
        <w:pStyle w:val="13"/>
        <w:rPr>
          <w:rFonts w:ascii="Times New Roman" w:hAnsi="Times New Roman" w:eastAsia="宋体" w:cs="Times New Roman"/>
        </w:rPr>
      </w:pPr>
      <w:r>
        <w:rPr>
          <w:rStyle w:val="20"/>
          <w:rFonts w:ascii="Times New Roman" w:hAnsi="Times New Roman" w:eastAsia="宋体" w:cs="Times New Roman"/>
        </w:rPr>
        <w:footnoteRef/>
      </w:r>
      <w:r>
        <w:rPr>
          <w:rFonts w:hint="eastAsia" w:ascii="Times New Roman" w:hAnsi="Times New Roman" w:eastAsia="宋体" w:cs="Times New Roman"/>
        </w:rPr>
        <w:t>资料来源：OECD /(2018),Countries must strengthen tax systems to meet Sustainable Development Goals - OECD, OECD Publishing,Paris.</w:t>
      </w:r>
    </w:p>
    <w:p>
      <w:pPr>
        <w:pStyle w:val="13"/>
        <w:rPr>
          <w:rFonts w:ascii="Times New Roman" w:hAnsi="Times New Roman" w:eastAsia="宋体" w:cs="Times New Roman"/>
        </w:rPr>
      </w:pPr>
      <w:r>
        <w:rPr>
          <w:rFonts w:hint="eastAsia" w:ascii="Times New Roman" w:hAnsi="Times New Roman" w:eastAsia="宋体" w:cs="Times New Roman"/>
        </w:rPr>
        <w:t>http://www.oecd.org/ctp/tax-global/countries-must-strengthen-tax-systems-to-meet-sustainable-development-goals.htm</w:t>
      </w:r>
    </w:p>
  </w:footnote>
  <w:footnote w:id="6">
    <w:p>
      <w:pPr>
        <w:pStyle w:val="13"/>
        <w:rPr>
          <w:rFonts w:ascii="Times New Roman" w:hAnsi="Times New Roman" w:eastAsia="宋体" w:cs="Times New Roman"/>
        </w:rPr>
      </w:pPr>
      <w:r>
        <w:rPr>
          <w:rStyle w:val="20"/>
        </w:rPr>
        <w:footnoteRef/>
      </w:r>
      <w:r>
        <w:rPr>
          <w:rFonts w:hint="eastAsia" w:ascii="Times New Roman" w:hAnsi="Times New Roman" w:eastAsia="宋体" w:cs="Times New Roman"/>
        </w:rPr>
        <w:t xml:space="preserve"> 资料来源：OECD/（2018）,First Global Conference of the Platform for Collaboration on Tax - Taxation and the Sustainable Development Goals,</w:t>
      </w:r>
    </w:p>
    <w:p>
      <w:pPr>
        <w:pStyle w:val="13"/>
      </w:pPr>
      <w:r>
        <w:rPr>
          <w:rFonts w:hint="eastAsia" w:ascii="Times New Roman" w:hAnsi="Times New Roman" w:eastAsia="宋体" w:cs="Times New Roman"/>
        </w:rPr>
        <w:t>http://www.worldbank.org/en/events/2017/06/06/first-global-conference-of-the-platform-for-collaboration-on-tax</w:t>
      </w:r>
    </w:p>
  </w:footnote>
  <w:footnote w:id="7">
    <w:p>
      <w:pPr>
        <w:pStyle w:val="13"/>
        <w:rPr>
          <w:rFonts w:ascii="Times New Roman" w:hAnsi="Times New Roman" w:cs="Times New Roman"/>
        </w:rPr>
      </w:pPr>
      <w:r>
        <w:rPr>
          <w:rStyle w:val="20"/>
        </w:rPr>
        <w:footnoteRef/>
      </w:r>
      <w:r>
        <w:t xml:space="preserve"> </w:t>
      </w:r>
      <w:r>
        <w:rPr>
          <w:rFonts w:hint="eastAsia"/>
        </w:rPr>
        <w:t>资料来源：</w:t>
      </w:r>
      <w:r>
        <w:rPr>
          <w:rFonts w:ascii="Times New Roman" w:hAnsi="Times New Roman" w:cs="Times New Roman"/>
        </w:rPr>
        <w:t>OECD(2018), Taxing Energy Use 2018, OECD Publishing, Paris. http://www.oecd.org/tax/governments-should-make-better-use-of-energy-taxation-to-address-climate-change.htm</w:t>
      </w:r>
    </w:p>
  </w:footnote>
  <w:footnote w:id="8">
    <w:p>
      <w:pPr>
        <w:pStyle w:val="13"/>
        <w:rPr>
          <w:rFonts w:ascii="Times New Roman" w:hAnsi="Times New Roman" w:cs="Times New Roman"/>
        </w:rPr>
      </w:pPr>
      <w:r>
        <w:rPr>
          <w:rStyle w:val="20"/>
        </w:rPr>
        <w:footnoteRef/>
      </w:r>
      <w:r>
        <w:t xml:space="preserve"> </w:t>
      </w:r>
      <w:r>
        <w:rPr>
          <w:rFonts w:hint="eastAsia"/>
        </w:rPr>
        <w:t>资料来源：</w:t>
      </w:r>
      <w:r>
        <w:rPr>
          <w:rFonts w:ascii="Times New Roman" w:hAnsi="Times New Roman" w:cs="Times New Roman"/>
        </w:rPr>
        <w:t>OECD/(2018), Taxing Energy Use 2018, OECD Publishing, Paris. http://www.oecd.org/tax/taxing-energy-use-2018-9789264289635-en.htm</w:t>
      </w:r>
    </w:p>
  </w:footnote>
  <w:footnote w:id="9">
    <w:p>
      <w:pPr>
        <w:pStyle w:val="13"/>
        <w:rPr>
          <w:rFonts w:ascii="Times New Roman" w:hAnsi="Times New Roman" w:cs="Times New Roman"/>
        </w:rPr>
      </w:pPr>
      <w:r>
        <w:rPr>
          <w:rStyle w:val="20"/>
        </w:rPr>
        <w:footnoteRef/>
      </w:r>
      <w:r>
        <w:t xml:space="preserve"> </w:t>
      </w:r>
      <w:r>
        <w:rPr>
          <w:rFonts w:hint="eastAsia"/>
        </w:rPr>
        <w:t>资料来源：</w:t>
      </w:r>
      <w:r>
        <w:rPr>
          <w:rFonts w:ascii="Times New Roman" w:hAnsi="Times New Roman" w:cs="Times New Roman"/>
        </w:rPr>
        <w:t>OECD/(2018), Taxing Energy Use 2018, OECD Publishing, Paris. http://www.oecd.org/ctp/tax-policy/taxing-energy-use-2018-china.pdf</w:t>
      </w:r>
    </w:p>
  </w:footnote>
  <w:footnote w:id="10">
    <w:p>
      <w:pPr>
        <w:pStyle w:val="13"/>
        <w:rPr>
          <w:rFonts w:ascii="Times New Roman" w:hAnsi="Times New Roman" w:eastAsia="宋体"/>
        </w:rPr>
      </w:pPr>
      <w:r>
        <w:rPr>
          <w:rStyle w:val="20"/>
          <w:rFonts w:ascii="Times New Roman" w:hAnsi="Times New Roman" w:eastAsia="宋体"/>
        </w:rPr>
        <w:footnoteRef/>
      </w:r>
      <w:r>
        <w:rPr>
          <w:rFonts w:hint="eastAsia" w:ascii="Times New Roman" w:hAnsi="Times New Roman" w:eastAsia="宋体"/>
        </w:rPr>
        <w:t xml:space="preserve"> 资料来源：</w:t>
      </w:r>
      <w:r>
        <w:rPr>
          <w:rFonts w:ascii="Times New Roman" w:hAnsi="Times New Roman" w:eastAsia="宋体"/>
        </w:rPr>
        <w:t xml:space="preserve"> OECD/(2018), Statutory tax rates on dividends, interest and capital gains, OECD Publishing, Paris. http://www.oecd-ilibrary.org/docserver/download/1aa2825f-en.pdf?expires=1520260289&amp;id=id&amp;accname=guest&amp;checksum=F67ED1C92B17A5FD71D84F441E3070E6</w:t>
      </w:r>
    </w:p>
  </w:footnote>
  <w:footnote w:id="11">
    <w:p>
      <w:pPr>
        <w:snapToGrid w:val="0"/>
        <w:rPr>
          <w:rFonts w:ascii="Times New Roman" w:hAnsi="Times New Roman" w:eastAsia="宋体" w:cs="Times New Roman"/>
          <w:sz w:val="18"/>
          <w:szCs w:val="18"/>
        </w:rPr>
      </w:pPr>
      <w:r>
        <w:rPr>
          <w:rStyle w:val="20"/>
        </w:rPr>
        <w:footnoteRef/>
      </w:r>
      <w:r>
        <w:rPr>
          <w:rFonts w:hint="eastAsia" w:ascii="Times New Roman" w:hAnsi="Times New Roman" w:eastAsia="宋体" w:cs="Times New Roman"/>
          <w:sz w:val="18"/>
        </w:rPr>
        <w:t>资料来源：</w:t>
      </w:r>
      <w:r>
        <w:rPr>
          <w:rFonts w:ascii="Times New Roman" w:hAnsi="Times New Roman" w:eastAsia="宋体" w:cs="Times New Roman"/>
          <w:sz w:val="18"/>
        </w:rPr>
        <w:t>OECD/</w:t>
      </w:r>
      <w:r>
        <w:rPr>
          <w:rFonts w:ascii="Times New Roman" w:hAnsi="Times New Roman" w:cs="Times New Roman"/>
        </w:rPr>
        <w:t xml:space="preserve"> </w:t>
      </w:r>
      <w:r>
        <w:rPr>
          <w:rFonts w:ascii="Times New Roman" w:hAnsi="Times New Roman" w:eastAsia="宋体" w:cs="Times New Roman"/>
          <w:sz w:val="18"/>
        </w:rPr>
        <w:t xml:space="preserve">Tibor Hanappi (2018), </w:t>
      </w:r>
      <w:r>
        <w:rPr>
          <w:rFonts w:ascii="Times New Roman" w:hAnsi="Times New Roman" w:eastAsia="宋体" w:cs="Times New Roman"/>
          <w:sz w:val="18"/>
          <w:szCs w:val="18"/>
        </w:rPr>
        <w:t>Loss carryover provisions Measuring effects on tax symmetry and automatic stabilisation</w:t>
      </w:r>
      <w:r>
        <w:rPr>
          <w:rFonts w:ascii="Times New Roman" w:hAnsi="Times New Roman" w:eastAsia="宋体" w:cs="Times New Roman"/>
        </w:rPr>
        <w:t xml:space="preserve">, </w:t>
      </w:r>
      <w:r>
        <w:rPr>
          <w:rFonts w:ascii="Times New Roman" w:hAnsi="Times New Roman" w:eastAsia="宋体" w:cs="Times New Roman"/>
          <w:sz w:val="18"/>
        </w:rPr>
        <w:t>OECD Publishing, Paris.</w:t>
      </w:r>
    </w:p>
    <w:p>
      <w:pPr>
        <w:pStyle w:val="13"/>
        <w:rPr>
          <w:rFonts w:ascii="Times New Roman" w:hAnsi="Times New Roman" w:cs="Times New Roman"/>
        </w:rPr>
      </w:pPr>
      <w:r>
        <w:rPr>
          <w:rFonts w:ascii="Times New Roman" w:hAnsi="Times New Roman" w:cs="Times New Roman"/>
        </w:rPr>
        <w:t>http://www.oecd-ilibrary.org/taxation/loss-carryover-provisions_bfbcd0db-en</w:t>
      </w:r>
    </w:p>
  </w:footnote>
  <w:footnote w:id="12">
    <w:p>
      <w:pPr>
        <w:snapToGrid w:val="0"/>
        <w:rPr>
          <w:rFonts w:ascii="Times New Roman" w:hAnsi="Times New Roman" w:eastAsia="宋体" w:cs="Times New Roman"/>
        </w:rPr>
      </w:pPr>
      <w:r>
        <w:rPr>
          <w:rStyle w:val="20"/>
        </w:rPr>
        <w:footnoteRef/>
      </w:r>
      <w:r>
        <w:rPr>
          <w:rFonts w:hint="eastAsia" w:ascii="Times New Roman" w:hAnsi="Times New Roman" w:eastAsia="宋体" w:cs="Times New Roman"/>
          <w:sz w:val="18"/>
        </w:rPr>
        <w:t xml:space="preserve"> 资料来源：</w:t>
      </w:r>
      <w:r>
        <w:rPr>
          <w:rFonts w:ascii="Times New Roman" w:hAnsi="Times New Roman" w:eastAsia="宋体" w:cs="Times New Roman"/>
          <w:sz w:val="18"/>
        </w:rPr>
        <w:t xml:space="preserve">OECD/(2018), </w:t>
      </w:r>
      <w:r>
        <w:rPr>
          <w:rFonts w:ascii="Times New Roman" w:hAnsi="Times New Roman" w:eastAsia="宋体" w:cs="Times New Roman"/>
          <w:sz w:val="18"/>
          <w:szCs w:val="18"/>
        </w:rPr>
        <w:t>OECD and Brazil launch project to examine differences in cross-border tax rules</w:t>
      </w:r>
      <w:r>
        <w:rPr>
          <w:rFonts w:ascii="Times New Roman" w:hAnsi="Times New Roman" w:eastAsia="宋体" w:cs="Times New Roman"/>
        </w:rPr>
        <w:t xml:space="preserve">, </w:t>
      </w:r>
      <w:r>
        <w:rPr>
          <w:rFonts w:ascii="Times New Roman" w:hAnsi="Times New Roman" w:eastAsia="宋体" w:cs="Times New Roman"/>
          <w:sz w:val="18"/>
        </w:rPr>
        <w:t>OECD Publishing, Paris.</w:t>
      </w:r>
    </w:p>
    <w:p>
      <w:pPr>
        <w:snapToGrid w:val="0"/>
        <w:rPr>
          <w:rFonts w:ascii="Times New Roman" w:hAnsi="Times New Roman" w:eastAsia="宋体" w:cs="Times New Roman"/>
          <w:sz w:val="18"/>
          <w:szCs w:val="18"/>
        </w:rPr>
      </w:pPr>
      <w:r>
        <w:rPr>
          <w:rFonts w:ascii="Times New Roman" w:hAnsi="Times New Roman" w:eastAsia="宋体" w:cs="Times New Roman"/>
          <w:sz w:val="18"/>
        </w:rPr>
        <w:t>http://www.oecd.org/tax/transfer-pricing/oecd-and-brazil-launch-project-to-examine-differences-in-cross-border-tax-rules.htm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5640"/>
    <w:multiLevelType w:val="multilevel"/>
    <w:tmpl w:val="4777564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C1"/>
    <w:rsid w:val="00001C6C"/>
    <w:rsid w:val="00002D3A"/>
    <w:rsid w:val="00006A1C"/>
    <w:rsid w:val="000131A7"/>
    <w:rsid w:val="00030602"/>
    <w:rsid w:val="00032392"/>
    <w:rsid w:val="0003505A"/>
    <w:rsid w:val="000379BE"/>
    <w:rsid w:val="0005311F"/>
    <w:rsid w:val="00061583"/>
    <w:rsid w:val="00062DAA"/>
    <w:rsid w:val="00064C55"/>
    <w:rsid w:val="00067A8F"/>
    <w:rsid w:val="00072601"/>
    <w:rsid w:val="00073297"/>
    <w:rsid w:val="00073DCB"/>
    <w:rsid w:val="00073F48"/>
    <w:rsid w:val="000749AB"/>
    <w:rsid w:val="000778C1"/>
    <w:rsid w:val="00080403"/>
    <w:rsid w:val="00086D3A"/>
    <w:rsid w:val="000873B8"/>
    <w:rsid w:val="00093DE6"/>
    <w:rsid w:val="00096395"/>
    <w:rsid w:val="00096A3C"/>
    <w:rsid w:val="000A51E0"/>
    <w:rsid w:val="000B52C5"/>
    <w:rsid w:val="000D1804"/>
    <w:rsid w:val="000E0759"/>
    <w:rsid w:val="000E52C3"/>
    <w:rsid w:val="001101CD"/>
    <w:rsid w:val="0011064F"/>
    <w:rsid w:val="001116AF"/>
    <w:rsid w:val="00117673"/>
    <w:rsid w:val="001327A2"/>
    <w:rsid w:val="00134212"/>
    <w:rsid w:val="00150D82"/>
    <w:rsid w:val="00152F51"/>
    <w:rsid w:val="00153EAC"/>
    <w:rsid w:val="00161C5E"/>
    <w:rsid w:val="001766DE"/>
    <w:rsid w:val="00187834"/>
    <w:rsid w:val="00191FAE"/>
    <w:rsid w:val="00195FB6"/>
    <w:rsid w:val="001A62DB"/>
    <w:rsid w:val="001B241B"/>
    <w:rsid w:val="001B418C"/>
    <w:rsid w:val="001D0261"/>
    <w:rsid w:val="001F06C5"/>
    <w:rsid w:val="00201FEC"/>
    <w:rsid w:val="00205489"/>
    <w:rsid w:val="0021464A"/>
    <w:rsid w:val="00224591"/>
    <w:rsid w:val="002353B5"/>
    <w:rsid w:val="00235B06"/>
    <w:rsid w:val="0024032A"/>
    <w:rsid w:val="00247DBC"/>
    <w:rsid w:val="0025565D"/>
    <w:rsid w:val="00256696"/>
    <w:rsid w:val="00260798"/>
    <w:rsid w:val="00272588"/>
    <w:rsid w:val="002730ED"/>
    <w:rsid w:val="002869E9"/>
    <w:rsid w:val="00295EE8"/>
    <w:rsid w:val="002A2C7F"/>
    <w:rsid w:val="002A45B4"/>
    <w:rsid w:val="002A524D"/>
    <w:rsid w:val="002A71C1"/>
    <w:rsid w:val="002A7A3D"/>
    <w:rsid w:val="002B6E3F"/>
    <w:rsid w:val="002C11DE"/>
    <w:rsid w:val="002C2CFE"/>
    <w:rsid w:val="002D32F1"/>
    <w:rsid w:val="002D397D"/>
    <w:rsid w:val="002D631B"/>
    <w:rsid w:val="002E67C0"/>
    <w:rsid w:val="002E6EA3"/>
    <w:rsid w:val="002F0736"/>
    <w:rsid w:val="002F6AB0"/>
    <w:rsid w:val="00302149"/>
    <w:rsid w:val="0031190D"/>
    <w:rsid w:val="00311C39"/>
    <w:rsid w:val="00317A2F"/>
    <w:rsid w:val="00324184"/>
    <w:rsid w:val="0032608B"/>
    <w:rsid w:val="00331124"/>
    <w:rsid w:val="00331F2A"/>
    <w:rsid w:val="00333F18"/>
    <w:rsid w:val="003366A9"/>
    <w:rsid w:val="00337049"/>
    <w:rsid w:val="0034335F"/>
    <w:rsid w:val="003435B4"/>
    <w:rsid w:val="003451D3"/>
    <w:rsid w:val="00350FEF"/>
    <w:rsid w:val="0035581E"/>
    <w:rsid w:val="003624D3"/>
    <w:rsid w:val="003851F6"/>
    <w:rsid w:val="00385BB9"/>
    <w:rsid w:val="00387F66"/>
    <w:rsid w:val="003B376E"/>
    <w:rsid w:val="003C59F2"/>
    <w:rsid w:val="003E0F25"/>
    <w:rsid w:val="003E3467"/>
    <w:rsid w:val="003E4143"/>
    <w:rsid w:val="003E4B25"/>
    <w:rsid w:val="003F22E9"/>
    <w:rsid w:val="003F5C5F"/>
    <w:rsid w:val="00413A19"/>
    <w:rsid w:val="00424C4B"/>
    <w:rsid w:val="00425227"/>
    <w:rsid w:val="00426415"/>
    <w:rsid w:val="0043360F"/>
    <w:rsid w:val="004346A4"/>
    <w:rsid w:val="00446DF0"/>
    <w:rsid w:val="0046042A"/>
    <w:rsid w:val="004667C2"/>
    <w:rsid w:val="0047127D"/>
    <w:rsid w:val="00471BA0"/>
    <w:rsid w:val="004801EC"/>
    <w:rsid w:val="004C10BC"/>
    <w:rsid w:val="004C2AFE"/>
    <w:rsid w:val="004C3246"/>
    <w:rsid w:val="004D20B4"/>
    <w:rsid w:val="004D7630"/>
    <w:rsid w:val="00500283"/>
    <w:rsid w:val="00506B67"/>
    <w:rsid w:val="00517807"/>
    <w:rsid w:val="00532D75"/>
    <w:rsid w:val="00533C38"/>
    <w:rsid w:val="005368E1"/>
    <w:rsid w:val="00540591"/>
    <w:rsid w:val="00541365"/>
    <w:rsid w:val="00552D47"/>
    <w:rsid w:val="00564A35"/>
    <w:rsid w:val="00576C8A"/>
    <w:rsid w:val="00585847"/>
    <w:rsid w:val="00594480"/>
    <w:rsid w:val="005A0C2B"/>
    <w:rsid w:val="005A1E1E"/>
    <w:rsid w:val="005A5D7A"/>
    <w:rsid w:val="005A704A"/>
    <w:rsid w:val="005B0203"/>
    <w:rsid w:val="005B36DF"/>
    <w:rsid w:val="005B79B0"/>
    <w:rsid w:val="005D09E6"/>
    <w:rsid w:val="005F0847"/>
    <w:rsid w:val="005F2AEA"/>
    <w:rsid w:val="005F2FB7"/>
    <w:rsid w:val="005F732C"/>
    <w:rsid w:val="0060404D"/>
    <w:rsid w:val="006429A5"/>
    <w:rsid w:val="00646806"/>
    <w:rsid w:val="006477A6"/>
    <w:rsid w:val="00650098"/>
    <w:rsid w:val="006605F7"/>
    <w:rsid w:val="00664656"/>
    <w:rsid w:val="006700C2"/>
    <w:rsid w:val="006721F9"/>
    <w:rsid w:val="00672944"/>
    <w:rsid w:val="00673501"/>
    <w:rsid w:val="00681938"/>
    <w:rsid w:val="00683285"/>
    <w:rsid w:val="0069017C"/>
    <w:rsid w:val="00692F2F"/>
    <w:rsid w:val="006A35DF"/>
    <w:rsid w:val="006B100C"/>
    <w:rsid w:val="006C234F"/>
    <w:rsid w:val="006D0C20"/>
    <w:rsid w:val="006D5C4A"/>
    <w:rsid w:val="006E080D"/>
    <w:rsid w:val="006E19B4"/>
    <w:rsid w:val="006E2410"/>
    <w:rsid w:val="006E2C08"/>
    <w:rsid w:val="006E5B02"/>
    <w:rsid w:val="006F303A"/>
    <w:rsid w:val="00713629"/>
    <w:rsid w:val="0071444B"/>
    <w:rsid w:val="00717720"/>
    <w:rsid w:val="00734433"/>
    <w:rsid w:val="0074113A"/>
    <w:rsid w:val="00744182"/>
    <w:rsid w:val="0076469A"/>
    <w:rsid w:val="007724A5"/>
    <w:rsid w:val="0077382F"/>
    <w:rsid w:val="00774239"/>
    <w:rsid w:val="0077662E"/>
    <w:rsid w:val="00797F0C"/>
    <w:rsid w:val="007A4C20"/>
    <w:rsid w:val="007B3855"/>
    <w:rsid w:val="007C148F"/>
    <w:rsid w:val="007C68A2"/>
    <w:rsid w:val="007E1CAD"/>
    <w:rsid w:val="007E3733"/>
    <w:rsid w:val="007E63AA"/>
    <w:rsid w:val="007E7A07"/>
    <w:rsid w:val="007F19DE"/>
    <w:rsid w:val="007F26C1"/>
    <w:rsid w:val="007F4E75"/>
    <w:rsid w:val="008049EC"/>
    <w:rsid w:val="00806D5F"/>
    <w:rsid w:val="00815D13"/>
    <w:rsid w:val="00823AD6"/>
    <w:rsid w:val="00831684"/>
    <w:rsid w:val="00833AA8"/>
    <w:rsid w:val="008352BC"/>
    <w:rsid w:val="008406CE"/>
    <w:rsid w:val="008427B8"/>
    <w:rsid w:val="008641B5"/>
    <w:rsid w:val="0086554F"/>
    <w:rsid w:val="00872DD7"/>
    <w:rsid w:val="008958E3"/>
    <w:rsid w:val="008A1E7B"/>
    <w:rsid w:val="008C1771"/>
    <w:rsid w:val="008C3FD5"/>
    <w:rsid w:val="008D5F9B"/>
    <w:rsid w:val="008D7D5F"/>
    <w:rsid w:val="008E4FEE"/>
    <w:rsid w:val="008E5A94"/>
    <w:rsid w:val="008E7355"/>
    <w:rsid w:val="008F3B9C"/>
    <w:rsid w:val="00923DC3"/>
    <w:rsid w:val="00930B8A"/>
    <w:rsid w:val="009314C4"/>
    <w:rsid w:val="00943461"/>
    <w:rsid w:val="009458D3"/>
    <w:rsid w:val="009616CF"/>
    <w:rsid w:val="00962D97"/>
    <w:rsid w:val="00964BD7"/>
    <w:rsid w:val="00966C67"/>
    <w:rsid w:val="00973990"/>
    <w:rsid w:val="009756E2"/>
    <w:rsid w:val="0098036F"/>
    <w:rsid w:val="009805F2"/>
    <w:rsid w:val="00985BFE"/>
    <w:rsid w:val="00986AF9"/>
    <w:rsid w:val="00990CCB"/>
    <w:rsid w:val="00996A79"/>
    <w:rsid w:val="009A3884"/>
    <w:rsid w:val="009A7303"/>
    <w:rsid w:val="009B6D17"/>
    <w:rsid w:val="009C097E"/>
    <w:rsid w:val="009D14D2"/>
    <w:rsid w:val="009D5229"/>
    <w:rsid w:val="009D5D18"/>
    <w:rsid w:val="009E50F1"/>
    <w:rsid w:val="00A02213"/>
    <w:rsid w:val="00A025D5"/>
    <w:rsid w:val="00A10FD3"/>
    <w:rsid w:val="00A14774"/>
    <w:rsid w:val="00A14D83"/>
    <w:rsid w:val="00A26308"/>
    <w:rsid w:val="00A504C7"/>
    <w:rsid w:val="00A578A1"/>
    <w:rsid w:val="00A6075B"/>
    <w:rsid w:val="00A63E4E"/>
    <w:rsid w:val="00A650C3"/>
    <w:rsid w:val="00A729A0"/>
    <w:rsid w:val="00A80413"/>
    <w:rsid w:val="00A809A4"/>
    <w:rsid w:val="00A91937"/>
    <w:rsid w:val="00A94B09"/>
    <w:rsid w:val="00AA2B52"/>
    <w:rsid w:val="00AA3031"/>
    <w:rsid w:val="00AA44AA"/>
    <w:rsid w:val="00AA5947"/>
    <w:rsid w:val="00AB1BF4"/>
    <w:rsid w:val="00AB58DB"/>
    <w:rsid w:val="00AC2E72"/>
    <w:rsid w:val="00AC76A0"/>
    <w:rsid w:val="00AD7FFE"/>
    <w:rsid w:val="00AE7AF3"/>
    <w:rsid w:val="00AF32AC"/>
    <w:rsid w:val="00AF577A"/>
    <w:rsid w:val="00AF5864"/>
    <w:rsid w:val="00AF774E"/>
    <w:rsid w:val="00B03652"/>
    <w:rsid w:val="00B07BEC"/>
    <w:rsid w:val="00B1244E"/>
    <w:rsid w:val="00B13795"/>
    <w:rsid w:val="00B267D4"/>
    <w:rsid w:val="00B46D10"/>
    <w:rsid w:val="00B63023"/>
    <w:rsid w:val="00B75ECA"/>
    <w:rsid w:val="00B76064"/>
    <w:rsid w:val="00B87DA7"/>
    <w:rsid w:val="00B929EB"/>
    <w:rsid w:val="00B95F49"/>
    <w:rsid w:val="00B970CA"/>
    <w:rsid w:val="00BA49C8"/>
    <w:rsid w:val="00BB1B37"/>
    <w:rsid w:val="00BB3EC6"/>
    <w:rsid w:val="00BB7311"/>
    <w:rsid w:val="00BC1787"/>
    <w:rsid w:val="00BC79C2"/>
    <w:rsid w:val="00BE5A20"/>
    <w:rsid w:val="00BE60A5"/>
    <w:rsid w:val="00BF7142"/>
    <w:rsid w:val="00C04622"/>
    <w:rsid w:val="00C07476"/>
    <w:rsid w:val="00C24442"/>
    <w:rsid w:val="00C25786"/>
    <w:rsid w:val="00C336FF"/>
    <w:rsid w:val="00C351AF"/>
    <w:rsid w:val="00C40118"/>
    <w:rsid w:val="00C514E2"/>
    <w:rsid w:val="00C566BB"/>
    <w:rsid w:val="00C6544B"/>
    <w:rsid w:val="00C8418C"/>
    <w:rsid w:val="00C940BB"/>
    <w:rsid w:val="00C978A9"/>
    <w:rsid w:val="00CA6026"/>
    <w:rsid w:val="00CC7E16"/>
    <w:rsid w:val="00CE00F0"/>
    <w:rsid w:val="00CE7247"/>
    <w:rsid w:val="00D01A45"/>
    <w:rsid w:val="00D066E2"/>
    <w:rsid w:val="00D16388"/>
    <w:rsid w:val="00D2011E"/>
    <w:rsid w:val="00D32E43"/>
    <w:rsid w:val="00D35D4A"/>
    <w:rsid w:val="00D36856"/>
    <w:rsid w:val="00D509CC"/>
    <w:rsid w:val="00D57B25"/>
    <w:rsid w:val="00D74C0F"/>
    <w:rsid w:val="00D80F48"/>
    <w:rsid w:val="00D919D0"/>
    <w:rsid w:val="00DA6D85"/>
    <w:rsid w:val="00DB2664"/>
    <w:rsid w:val="00DC2BEA"/>
    <w:rsid w:val="00DC4553"/>
    <w:rsid w:val="00DD0668"/>
    <w:rsid w:val="00DD0EC7"/>
    <w:rsid w:val="00DD3742"/>
    <w:rsid w:val="00DD67DC"/>
    <w:rsid w:val="00DE2745"/>
    <w:rsid w:val="00DE39DC"/>
    <w:rsid w:val="00DE72DA"/>
    <w:rsid w:val="00E04E5A"/>
    <w:rsid w:val="00E30AA7"/>
    <w:rsid w:val="00E358FF"/>
    <w:rsid w:val="00E46E39"/>
    <w:rsid w:val="00E6498B"/>
    <w:rsid w:val="00E75CFB"/>
    <w:rsid w:val="00EA7B88"/>
    <w:rsid w:val="00EB3BF8"/>
    <w:rsid w:val="00EB52E4"/>
    <w:rsid w:val="00EC13BE"/>
    <w:rsid w:val="00EC47A1"/>
    <w:rsid w:val="00ED189C"/>
    <w:rsid w:val="00ED280F"/>
    <w:rsid w:val="00ED5365"/>
    <w:rsid w:val="00EE0736"/>
    <w:rsid w:val="00EE3858"/>
    <w:rsid w:val="00EE54BA"/>
    <w:rsid w:val="00EF1870"/>
    <w:rsid w:val="00EF199C"/>
    <w:rsid w:val="00EF26B8"/>
    <w:rsid w:val="00F00F56"/>
    <w:rsid w:val="00F018C9"/>
    <w:rsid w:val="00F42D34"/>
    <w:rsid w:val="00F43CD6"/>
    <w:rsid w:val="00F44360"/>
    <w:rsid w:val="00F47C94"/>
    <w:rsid w:val="00F50915"/>
    <w:rsid w:val="00F712E0"/>
    <w:rsid w:val="00F905FF"/>
    <w:rsid w:val="00F94724"/>
    <w:rsid w:val="00F9497E"/>
    <w:rsid w:val="00F96E80"/>
    <w:rsid w:val="00FA1FCA"/>
    <w:rsid w:val="00FA4402"/>
    <w:rsid w:val="00FA4E35"/>
    <w:rsid w:val="00FA5FBA"/>
    <w:rsid w:val="00FB502E"/>
    <w:rsid w:val="00FD5E80"/>
    <w:rsid w:val="00FE27CC"/>
    <w:rsid w:val="00FE45B3"/>
    <w:rsid w:val="4A863F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41"/>
    <w:semiHidden/>
    <w:unhideWhenUsed/>
    <w:uiPriority w:val="99"/>
    <w:pPr>
      <w:widowControl w:val="0"/>
      <w:spacing w:after="0" w:line="240" w:lineRule="auto"/>
    </w:pPr>
    <w:rPr>
      <w:b/>
      <w:bCs/>
      <w:kern w:val="2"/>
      <w:sz w:val="21"/>
      <w:lang w:eastAsia="zh-CN"/>
    </w:rPr>
  </w:style>
  <w:style w:type="paragraph" w:styleId="7">
    <w:name w:val="annotation text"/>
    <w:basedOn w:val="1"/>
    <w:link w:val="33"/>
    <w:unhideWhenUsed/>
    <w:uiPriority w:val="99"/>
    <w:pPr>
      <w:widowControl/>
      <w:spacing w:after="160" w:line="259" w:lineRule="auto"/>
      <w:jc w:val="left"/>
    </w:pPr>
    <w:rPr>
      <w:kern w:val="0"/>
      <w:sz w:val="22"/>
      <w:lang w:eastAsia="ja-JP"/>
    </w:rPr>
  </w:style>
  <w:style w:type="paragraph" w:styleId="8">
    <w:name w:val="toc 3"/>
    <w:basedOn w:val="1"/>
    <w:next w:val="1"/>
    <w:unhideWhenUsed/>
    <w:uiPriority w:val="39"/>
    <w:pPr>
      <w:ind w:left="840" w:leftChars="400"/>
    </w:pPr>
  </w:style>
  <w:style w:type="paragraph" w:styleId="9">
    <w:name w:val="Balloon Text"/>
    <w:basedOn w:val="1"/>
    <w:link w:val="31"/>
    <w:semiHidden/>
    <w:unhideWhenUsed/>
    <w:uiPriority w:val="99"/>
    <w:rPr>
      <w:sz w:val="18"/>
      <w:szCs w:val="18"/>
    </w:rPr>
  </w:style>
  <w:style w:type="paragraph" w:styleId="10">
    <w:name w:val="footer"/>
    <w:basedOn w:val="1"/>
    <w:link w:val="24"/>
    <w:unhideWhenUsed/>
    <w:uiPriority w:val="99"/>
    <w:pPr>
      <w:tabs>
        <w:tab w:val="center" w:pos="4153"/>
        <w:tab w:val="right" w:pos="8306"/>
      </w:tabs>
      <w:snapToGrid w:val="0"/>
      <w:jc w:val="left"/>
    </w:pPr>
    <w:rPr>
      <w:sz w:val="18"/>
      <w:szCs w:val="18"/>
    </w:rPr>
  </w:style>
  <w:style w:type="paragraph" w:styleId="11">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uiPriority w:val="39"/>
    <w:pPr>
      <w:tabs>
        <w:tab w:val="left" w:pos="420"/>
        <w:tab w:val="right" w:leader="dot" w:pos="8296"/>
      </w:tabs>
      <w:spacing w:line="360" w:lineRule="auto"/>
    </w:pPr>
  </w:style>
  <w:style w:type="paragraph" w:styleId="13">
    <w:name w:val="footnote text"/>
    <w:basedOn w:val="1"/>
    <w:link w:val="29"/>
    <w:unhideWhenUsed/>
    <w:uiPriority w:val="99"/>
    <w:pPr>
      <w:snapToGrid w:val="0"/>
      <w:jc w:val="left"/>
    </w:pPr>
    <w:rPr>
      <w:sz w:val="18"/>
      <w:szCs w:val="18"/>
    </w:rPr>
  </w:style>
  <w:style w:type="paragraph" w:styleId="14">
    <w:name w:val="toc 2"/>
    <w:basedOn w:val="1"/>
    <w:next w:val="1"/>
    <w:unhideWhenUsed/>
    <w:uiPriority w:val="39"/>
    <w:pPr>
      <w:ind w:left="420" w:leftChars="200"/>
    </w:pPr>
  </w:style>
  <w:style w:type="paragraph" w:styleId="15">
    <w:name w:val="Normal (Web)"/>
    <w:basedOn w:val="1"/>
    <w:unhideWhenUsed/>
    <w:qFormat/>
    <w:uiPriority w:val="99"/>
    <w:pPr>
      <w:widowControl/>
      <w:jc w:val="left"/>
    </w:pPr>
    <w:rPr>
      <w:rFonts w:ascii="Times New Roman" w:hAnsi="Times New Roman" w:cs="Times New Roman"/>
      <w:kern w:val="0"/>
      <w:sz w:val="24"/>
      <w:szCs w:val="24"/>
    </w:rPr>
  </w:style>
  <w:style w:type="paragraph" w:styleId="16">
    <w:name w:val="Title"/>
    <w:basedOn w:val="1"/>
    <w:next w:val="1"/>
    <w:link w:val="34"/>
    <w:qFormat/>
    <w:uiPriority w:val="10"/>
    <w:pPr>
      <w:widowControl/>
      <w:spacing w:before="360" w:after="240" w:line="360" w:lineRule="auto"/>
      <w:ind w:firstLine="200" w:firstLineChars="200"/>
      <w:outlineLvl w:val="0"/>
    </w:pPr>
    <w:rPr>
      <w:rFonts w:ascii="Times New Roman" w:hAnsi="Times New Roman" w:eastAsia="宋体" w:cstheme="majorBidi"/>
      <w:b/>
      <w:bCs/>
      <w:sz w:val="24"/>
      <w:szCs w:val="32"/>
    </w:rPr>
  </w:style>
  <w:style w:type="character" w:styleId="18">
    <w:name w:val="Hyperlink"/>
    <w:basedOn w:val="17"/>
    <w:unhideWhenUsed/>
    <w:uiPriority w:val="99"/>
    <w:rPr>
      <w:color w:val="0563C1" w:themeColor="hyperlink"/>
      <w:u w:val="single"/>
      <w14:textFill>
        <w14:solidFill>
          <w14:schemeClr w14:val="hlink"/>
        </w14:solidFill>
      </w14:textFill>
    </w:rPr>
  </w:style>
  <w:style w:type="character" w:styleId="19">
    <w:name w:val="annotation reference"/>
    <w:basedOn w:val="17"/>
    <w:unhideWhenUsed/>
    <w:uiPriority w:val="99"/>
    <w:rPr>
      <w:sz w:val="21"/>
      <w:szCs w:val="21"/>
    </w:rPr>
  </w:style>
  <w:style w:type="character" w:styleId="20">
    <w:name w:val="footnote reference"/>
    <w:basedOn w:val="17"/>
    <w:unhideWhenUsed/>
    <w:qFormat/>
    <w:uiPriority w:val="99"/>
    <w:rPr>
      <w:vertAlign w:val="superscript"/>
    </w:rPr>
  </w:style>
  <w:style w:type="table" w:styleId="22">
    <w:name w:val="Table Grid"/>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页眉 Char"/>
    <w:basedOn w:val="17"/>
    <w:link w:val="11"/>
    <w:qFormat/>
    <w:uiPriority w:val="99"/>
    <w:rPr>
      <w:sz w:val="18"/>
      <w:szCs w:val="18"/>
    </w:rPr>
  </w:style>
  <w:style w:type="character" w:customStyle="1" w:styleId="24">
    <w:name w:val="页脚 Char"/>
    <w:basedOn w:val="17"/>
    <w:link w:val="10"/>
    <w:uiPriority w:val="99"/>
    <w:rPr>
      <w:sz w:val="18"/>
      <w:szCs w:val="18"/>
    </w:rPr>
  </w:style>
  <w:style w:type="character" w:customStyle="1" w:styleId="25">
    <w:name w:val="标题 1 Char"/>
    <w:basedOn w:val="17"/>
    <w:link w:val="2"/>
    <w:uiPriority w:val="9"/>
    <w:rPr>
      <w:b/>
      <w:bCs/>
      <w:kern w:val="44"/>
      <w:sz w:val="44"/>
      <w:szCs w:val="44"/>
    </w:rPr>
  </w:style>
  <w:style w:type="character" w:customStyle="1" w:styleId="26">
    <w:name w:val="标题 2 Char"/>
    <w:basedOn w:val="17"/>
    <w:link w:val="3"/>
    <w:uiPriority w:val="9"/>
    <w:rPr>
      <w:rFonts w:asciiTheme="majorHAnsi" w:hAnsiTheme="majorHAnsi" w:eastAsiaTheme="majorEastAsia" w:cstheme="majorBidi"/>
      <w:b/>
      <w:bCs/>
      <w:sz w:val="32"/>
      <w:szCs w:val="32"/>
    </w:rPr>
  </w:style>
  <w:style w:type="character" w:customStyle="1" w:styleId="27">
    <w:name w:val="标题 3 Char"/>
    <w:basedOn w:val="17"/>
    <w:link w:val="4"/>
    <w:uiPriority w:val="9"/>
    <w:rPr>
      <w:b/>
      <w:bCs/>
      <w:sz w:val="32"/>
      <w:szCs w:val="32"/>
    </w:rPr>
  </w:style>
  <w:style w:type="character" w:customStyle="1" w:styleId="28">
    <w:name w:val="标题 4 Char"/>
    <w:basedOn w:val="17"/>
    <w:link w:val="5"/>
    <w:uiPriority w:val="9"/>
    <w:rPr>
      <w:rFonts w:asciiTheme="majorHAnsi" w:hAnsiTheme="majorHAnsi" w:eastAsiaTheme="majorEastAsia" w:cstheme="majorBidi"/>
      <w:b/>
      <w:bCs/>
      <w:sz w:val="28"/>
      <w:szCs w:val="28"/>
    </w:rPr>
  </w:style>
  <w:style w:type="character" w:customStyle="1" w:styleId="29">
    <w:name w:val="脚注文本 Char"/>
    <w:basedOn w:val="17"/>
    <w:link w:val="13"/>
    <w:uiPriority w:val="99"/>
    <w:rPr>
      <w:sz w:val="18"/>
      <w:szCs w:val="18"/>
    </w:rPr>
  </w:style>
  <w:style w:type="paragraph" w:styleId="30">
    <w:name w:val="List Paragraph"/>
    <w:basedOn w:val="1"/>
    <w:qFormat/>
    <w:uiPriority w:val="34"/>
    <w:pPr>
      <w:ind w:firstLine="420" w:firstLineChars="200"/>
    </w:pPr>
  </w:style>
  <w:style w:type="character" w:customStyle="1" w:styleId="31">
    <w:name w:val="批注框文本 Char"/>
    <w:basedOn w:val="17"/>
    <w:link w:val="9"/>
    <w:semiHidden/>
    <w:uiPriority w:val="99"/>
    <w:rPr>
      <w:sz w:val="18"/>
      <w:szCs w:val="18"/>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3">
    <w:name w:val="批注文字 Char"/>
    <w:basedOn w:val="17"/>
    <w:link w:val="7"/>
    <w:uiPriority w:val="99"/>
    <w:rPr>
      <w:kern w:val="0"/>
      <w:sz w:val="22"/>
      <w:lang w:eastAsia="ja-JP"/>
    </w:rPr>
  </w:style>
  <w:style w:type="character" w:customStyle="1" w:styleId="34">
    <w:name w:val="标题 Char"/>
    <w:basedOn w:val="17"/>
    <w:link w:val="16"/>
    <w:uiPriority w:val="10"/>
    <w:rPr>
      <w:rFonts w:ascii="Times New Roman" w:hAnsi="Times New Roman" w:eastAsia="宋体" w:cstheme="majorBidi"/>
      <w:b/>
      <w:bCs/>
      <w:sz w:val="24"/>
      <w:szCs w:val="32"/>
    </w:rPr>
  </w:style>
  <w:style w:type="table" w:customStyle="1" w:styleId="35">
    <w:name w:val="网格型1"/>
    <w:basedOn w:val="21"/>
    <w:uiPriority w:val="3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6">
    <w:name w:val="网格型2"/>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7">
    <w:name w:val="网格型11"/>
    <w:basedOn w:val="21"/>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8">
    <w:name w:val="网格型3"/>
    <w:basedOn w:val="21"/>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9">
    <w:name w:val="标题一"/>
    <w:basedOn w:val="1"/>
    <w:next w:val="1"/>
    <w:qFormat/>
    <w:uiPriority w:val="0"/>
    <w:pPr>
      <w:spacing w:line="360" w:lineRule="auto"/>
      <w:outlineLvl w:val="0"/>
    </w:pPr>
    <w:rPr>
      <w:rFonts w:ascii="Times New Roman" w:hAnsi="Times New Roman" w:eastAsia="宋体"/>
      <w:b/>
      <w:sz w:val="24"/>
    </w:rPr>
  </w:style>
  <w:style w:type="paragraph" w:customStyle="1" w:styleId="40">
    <w:name w:val="标题二"/>
    <w:basedOn w:val="1"/>
    <w:next w:val="1"/>
    <w:qFormat/>
    <w:uiPriority w:val="0"/>
    <w:pPr>
      <w:spacing w:line="360" w:lineRule="auto"/>
      <w:outlineLvl w:val="1"/>
    </w:pPr>
    <w:rPr>
      <w:rFonts w:ascii="Times New Roman" w:hAnsi="Times New Roman" w:eastAsia="宋体"/>
      <w:b/>
      <w:sz w:val="24"/>
    </w:rPr>
  </w:style>
  <w:style w:type="character" w:customStyle="1" w:styleId="41">
    <w:name w:val="批注主题 Char"/>
    <w:basedOn w:val="33"/>
    <w:link w:val="6"/>
    <w:semiHidden/>
    <w:uiPriority w:val="99"/>
    <w:rPr>
      <w:b/>
      <w:bCs/>
      <w:kern w:val="0"/>
      <w:sz w:val="22"/>
      <w:lang w:eastAsia="ja-JP"/>
    </w:rPr>
  </w:style>
  <w:style w:type="table" w:customStyle="1" w:styleId="42">
    <w:name w:val="网格型12"/>
    <w:basedOn w:val="21"/>
    <w:uiPriority w:val="39"/>
    <w:rPr>
      <w:rFonts w:ascii="等线" w:hAnsi="等线" w:eastAsia="等线"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3">
    <w:name w:val="网格型4"/>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45">
    <w:name w:val="网格型5"/>
    <w:basedOn w:val="21"/>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E56E8-507E-4D53-A547-9C37946D3528}">
  <ds:schemaRefs/>
</ds:datastoreItem>
</file>

<file path=docProps/app.xml><?xml version="1.0" encoding="utf-8"?>
<Properties xmlns="http://schemas.openxmlformats.org/officeDocument/2006/extended-properties" xmlns:vt="http://schemas.openxmlformats.org/officeDocument/2006/docPropsVTypes">
  <Template>Normal</Template>
  <Pages>25</Pages>
  <Words>2786</Words>
  <Characters>15886</Characters>
  <Lines>132</Lines>
  <Paragraphs>37</Paragraphs>
  <TotalTime>0</TotalTime>
  <ScaleCrop>false</ScaleCrop>
  <LinksUpToDate>false</LinksUpToDate>
  <CharactersWithSpaces>18635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2018-03-14T16:57:00Z</dcterms:created>
  <dc:creator>Orchid-W</dc:creator>
  <cp:lastModifiedBy>MH</cp:lastModifiedBy>
  <dcterms:modified xsi:type="dcterms:W3CDTF">2018-03-19T05:25:50Z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