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9AF26F" w14:textId="77777777" w:rsidR="00DD1E0B" w:rsidRDefault="00DD1E0B">
      <w:pPr>
        <w:spacing w:line="360" w:lineRule="atLeast"/>
        <w:ind w:right="1768" w:firstLineChars="0" w:firstLine="0"/>
      </w:pPr>
    </w:p>
    <w:p w14:paraId="40535C46" w14:textId="77777777" w:rsidR="00DD1E0B" w:rsidRDefault="00DD1E0B">
      <w:pPr>
        <w:spacing w:line="360" w:lineRule="atLeast"/>
        <w:ind w:right="1768" w:firstLineChars="0" w:firstLine="0"/>
      </w:pPr>
    </w:p>
    <w:p w14:paraId="5907BC00" w14:textId="77777777" w:rsidR="00DD1E0B" w:rsidRDefault="00C924F2">
      <w:pPr>
        <w:spacing w:line="360" w:lineRule="atLeast"/>
        <w:ind w:right="1768" w:firstLineChars="0" w:firstLine="0"/>
        <w:rPr>
          <w:rFonts w:ascii="仿宋" w:hAnsi="仿宋"/>
          <w:b/>
          <w:color w:val="3B3838" w:themeColor="background2" w:themeShade="40"/>
          <w:sz w:val="48"/>
          <w:szCs w:val="48"/>
        </w:rPr>
      </w:pPr>
      <w:r>
        <w:rPr>
          <w:rFonts w:ascii="楷体_GB2312" w:eastAsia="楷体_GB2312" w:cs="楷体_GB2312" w:hint="eastAsia"/>
          <w:b/>
          <w:color w:val="3B3838" w:themeColor="background2" w:themeShade="40"/>
          <w:sz w:val="44"/>
          <w:szCs w:val="44"/>
        </w:rPr>
        <w:t>客观</w:t>
      </w:r>
      <w:r>
        <w:rPr>
          <w:rFonts w:ascii="楷体_GB2312" w:eastAsia="楷体_GB2312" w:cs="楷体_GB2312" w:hint="eastAsia"/>
          <w:b/>
          <w:color w:val="3B3838" w:themeColor="background2" w:themeShade="40"/>
          <w:sz w:val="44"/>
          <w:szCs w:val="44"/>
        </w:rPr>
        <w:t xml:space="preserve"> </w:t>
      </w:r>
      <w:r>
        <w:rPr>
          <w:rFonts w:ascii="楷体_GB2312" w:eastAsia="楷体_GB2312" w:cs="楷体_GB2312" w:hint="eastAsia"/>
          <w:b/>
          <w:color w:val="3B3838" w:themeColor="background2" w:themeShade="40"/>
          <w:sz w:val="44"/>
          <w:szCs w:val="44"/>
        </w:rPr>
        <w:t>、专业</w:t>
      </w:r>
      <w:r>
        <w:rPr>
          <w:rFonts w:ascii="楷体_GB2312" w:eastAsia="楷体_GB2312" w:cs="楷体_GB2312" w:hint="eastAsia"/>
          <w:b/>
          <w:color w:val="3B3838" w:themeColor="background2" w:themeShade="40"/>
          <w:sz w:val="44"/>
          <w:szCs w:val="44"/>
        </w:rPr>
        <w:t xml:space="preserve"> </w:t>
      </w:r>
      <w:r>
        <w:rPr>
          <w:rFonts w:ascii="楷体_GB2312" w:eastAsia="楷体_GB2312" w:cs="楷体_GB2312" w:hint="eastAsia"/>
          <w:b/>
          <w:color w:val="3B3838" w:themeColor="background2" w:themeShade="40"/>
          <w:sz w:val="44"/>
          <w:szCs w:val="44"/>
        </w:rPr>
        <w:t>、实时</w:t>
      </w:r>
    </w:p>
    <w:p w14:paraId="18C42C49" w14:textId="77777777" w:rsidR="00DD1E0B" w:rsidRDefault="00DD1E0B">
      <w:pPr>
        <w:spacing w:line="360" w:lineRule="atLeast"/>
        <w:ind w:firstLineChars="0" w:firstLine="0"/>
        <w:rPr>
          <w:rFonts w:ascii="楷体" w:eastAsia="楷体" w:hAnsi="楷体"/>
          <w:b/>
          <w:color w:val="002060"/>
          <w:sz w:val="48"/>
          <w:szCs w:val="48"/>
        </w:rPr>
      </w:pPr>
    </w:p>
    <w:p w14:paraId="38E3AFA8" w14:textId="77777777" w:rsidR="00DD1E0B" w:rsidRDefault="00DD1E0B">
      <w:pPr>
        <w:spacing w:line="360" w:lineRule="atLeast"/>
        <w:ind w:firstLineChars="41" w:firstLine="198"/>
        <w:rPr>
          <w:rFonts w:ascii="楷体" w:eastAsia="楷体" w:hAnsi="楷体"/>
          <w:b/>
          <w:color w:val="002060"/>
          <w:sz w:val="48"/>
          <w:szCs w:val="48"/>
        </w:rPr>
      </w:pPr>
    </w:p>
    <w:p w14:paraId="11D69048" w14:textId="77777777" w:rsidR="00DD1E0B" w:rsidRDefault="00C924F2">
      <w:pPr>
        <w:spacing w:line="360" w:lineRule="atLeast"/>
        <w:ind w:firstLineChars="0" w:firstLine="0"/>
        <w:jc w:val="center"/>
        <w:rPr>
          <w:rFonts w:ascii="楷体" w:eastAsia="楷体" w:hAnsi="楷体"/>
          <w:b/>
          <w:color w:val="3B3838" w:themeColor="background2" w:themeShade="40"/>
          <w:sz w:val="84"/>
          <w:szCs w:val="84"/>
        </w:rPr>
      </w:pPr>
      <w:r>
        <w:rPr>
          <w:rFonts w:ascii="楷体" w:eastAsia="楷体" w:hAnsi="楷体" w:hint="eastAsia"/>
          <w:b/>
          <w:color w:val="3B3838" w:themeColor="background2" w:themeShade="40"/>
          <w:sz w:val="84"/>
          <w:szCs w:val="84"/>
        </w:rPr>
        <w:t>世界税收动态</w:t>
      </w:r>
    </w:p>
    <w:p w14:paraId="6F69E23C" w14:textId="77777777" w:rsidR="00DD1E0B" w:rsidRDefault="00C924F2">
      <w:pPr>
        <w:spacing w:line="360" w:lineRule="atLeast"/>
        <w:ind w:firstLineChars="100" w:firstLine="402"/>
        <w:jc w:val="center"/>
        <w:rPr>
          <w:rFonts w:ascii="楷体" w:eastAsia="楷体" w:hAnsi="楷体"/>
          <w:b/>
          <w:color w:val="3B3838" w:themeColor="background2" w:themeShade="40"/>
          <w:sz w:val="40"/>
          <w:szCs w:val="40"/>
        </w:rPr>
      </w:pPr>
      <w:r>
        <w:rPr>
          <w:rFonts w:ascii="楷体" w:eastAsia="楷体" w:hAnsi="楷体"/>
          <w:b/>
          <w:color w:val="3B3838" w:themeColor="background2" w:themeShade="40"/>
          <w:sz w:val="40"/>
          <w:szCs w:val="40"/>
        </w:rPr>
        <w:t>Tax Dynamics of The World</w:t>
      </w:r>
    </w:p>
    <w:p w14:paraId="4C190DF5" w14:textId="77777777" w:rsidR="00DD1E0B" w:rsidRDefault="00DD1E0B">
      <w:pPr>
        <w:spacing w:line="360" w:lineRule="atLeast"/>
        <w:ind w:firstLineChars="0" w:firstLine="0"/>
        <w:rPr>
          <w:rFonts w:ascii="楷体" w:eastAsia="楷体" w:hAnsi="楷体"/>
          <w:b/>
          <w:color w:val="1F3864" w:themeColor="accent1" w:themeShade="80"/>
          <w:sz w:val="72"/>
          <w:szCs w:val="72"/>
        </w:rPr>
      </w:pPr>
    </w:p>
    <w:p w14:paraId="78395B13" w14:textId="77777777" w:rsidR="00DD1E0B" w:rsidRDefault="00C924F2">
      <w:pPr>
        <w:spacing w:line="360" w:lineRule="atLeast"/>
        <w:ind w:firstLineChars="55" w:firstLine="265"/>
        <w:jc w:val="center"/>
        <w:rPr>
          <w:rFonts w:ascii="楷体" w:eastAsia="楷体" w:hAnsi="楷体"/>
          <w:b/>
          <w:color w:val="3B3838" w:themeColor="background2" w:themeShade="40"/>
          <w:sz w:val="48"/>
          <w:szCs w:val="48"/>
        </w:rPr>
      </w:pPr>
      <w:r>
        <w:rPr>
          <w:rFonts w:ascii="楷体" w:eastAsia="楷体" w:hAnsi="楷体" w:hint="eastAsia"/>
          <w:b/>
          <w:color w:val="3B3838" w:themeColor="background2" w:themeShade="40"/>
          <w:sz w:val="48"/>
          <w:szCs w:val="48"/>
        </w:rPr>
        <w:t>月刊</w:t>
      </w:r>
    </w:p>
    <w:p w14:paraId="4B67D765" w14:textId="77777777" w:rsidR="00DD1E0B" w:rsidRDefault="00C924F2">
      <w:pPr>
        <w:spacing w:line="360" w:lineRule="atLeast"/>
        <w:ind w:firstLineChars="55" w:firstLine="221"/>
        <w:jc w:val="center"/>
        <w:rPr>
          <w:rFonts w:ascii="楷体" w:eastAsia="楷体" w:hAnsi="楷体"/>
          <w:b/>
          <w:color w:val="3B3838" w:themeColor="background2" w:themeShade="40"/>
          <w:sz w:val="40"/>
          <w:szCs w:val="40"/>
        </w:rPr>
      </w:pPr>
      <w:r>
        <w:rPr>
          <w:rFonts w:ascii="楷体" w:eastAsia="楷体" w:hAnsi="楷体" w:hint="eastAsia"/>
          <w:b/>
          <w:color w:val="3B3838" w:themeColor="background2" w:themeShade="40"/>
          <w:sz w:val="40"/>
          <w:szCs w:val="40"/>
        </w:rPr>
        <w:t>2018</w:t>
      </w:r>
      <w:r>
        <w:rPr>
          <w:rFonts w:ascii="楷体" w:eastAsia="楷体" w:hAnsi="楷体" w:hint="eastAsia"/>
          <w:b/>
          <w:color w:val="3B3838" w:themeColor="background2" w:themeShade="40"/>
          <w:sz w:val="40"/>
          <w:szCs w:val="40"/>
        </w:rPr>
        <w:t>年</w:t>
      </w:r>
      <w:r>
        <w:rPr>
          <w:rFonts w:ascii="楷体" w:eastAsia="楷体" w:hAnsi="楷体" w:hint="eastAsia"/>
          <w:b/>
          <w:color w:val="3B3838" w:themeColor="background2" w:themeShade="40"/>
          <w:sz w:val="40"/>
          <w:szCs w:val="40"/>
        </w:rPr>
        <w:t>2</w:t>
      </w:r>
      <w:r>
        <w:rPr>
          <w:rFonts w:ascii="楷体" w:eastAsia="楷体" w:hAnsi="楷体" w:hint="eastAsia"/>
          <w:b/>
          <w:color w:val="3B3838" w:themeColor="background2" w:themeShade="40"/>
          <w:sz w:val="40"/>
          <w:szCs w:val="40"/>
        </w:rPr>
        <w:t>月</w:t>
      </w:r>
    </w:p>
    <w:p w14:paraId="69BF2251" w14:textId="77777777" w:rsidR="00DD1E0B" w:rsidRDefault="00DD1E0B">
      <w:pPr>
        <w:spacing w:line="360" w:lineRule="atLeast"/>
        <w:ind w:firstLine="723"/>
        <w:jc w:val="center"/>
        <w:rPr>
          <w:rFonts w:ascii="楷体" w:eastAsia="楷体" w:hAnsi="楷体"/>
          <w:b/>
          <w:color w:val="002060"/>
          <w:sz w:val="36"/>
          <w:szCs w:val="36"/>
        </w:rPr>
      </w:pPr>
    </w:p>
    <w:p w14:paraId="64947B74" w14:textId="77777777" w:rsidR="00DD1E0B" w:rsidRDefault="00DD1E0B">
      <w:pPr>
        <w:spacing w:line="360" w:lineRule="atLeast"/>
        <w:ind w:firstLine="723"/>
        <w:jc w:val="center"/>
        <w:rPr>
          <w:rFonts w:ascii="楷体" w:eastAsia="楷体" w:hAnsi="楷体"/>
          <w:b/>
          <w:color w:val="002060"/>
          <w:sz w:val="36"/>
          <w:szCs w:val="36"/>
        </w:rPr>
      </w:pPr>
    </w:p>
    <w:p w14:paraId="2F50FEE9" w14:textId="77777777" w:rsidR="00DD1E0B" w:rsidRDefault="00DD1E0B">
      <w:pPr>
        <w:spacing w:line="360" w:lineRule="atLeast"/>
        <w:ind w:firstLine="723"/>
        <w:jc w:val="center"/>
        <w:rPr>
          <w:rFonts w:ascii="楷体" w:eastAsia="楷体" w:hAnsi="楷体"/>
          <w:b/>
          <w:color w:val="002060"/>
          <w:sz w:val="36"/>
          <w:szCs w:val="36"/>
        </w:rPr>
      </w:pPr>
    </w:p>
    <w:p w14:paraId="51500E74" w14:textId="77777777" w:rsidR="00DD1E0B" w:rsidRDefault="00C924F2">
      <w:pPr>
        <w:spacing w:line="360" w:lineRule="atLeast"/>
        <w:ind w:firstLine="602"/>
        <w:jc w:val="center"/>
        <w:rPr>
          <w:rFonts w:ascii="楷体" w:eastAsia="楷体" w:hAnsi="楷体"/>
          <w:b/>
          <w:color w:val="002060"/>
          <w:sz w:val="36"/>
          <w:szCs w:val="36"/>
        </w:rPr>
      </w:pPr>
      <w:r>
        <w:rPr>
          <w:rFonts w:ascii="楷体" w:eastAsia="楷体" w:hAnsi="楷体"/>
          <w:b/>
          <w:noProof/>
          <w:color w:val="002060"/>
          <w:sz w:val="30"/>
          <w:szCs w:val="30"/>
        </w:rPr>
        <w:drawing>
          <wp:inline distT="0" distB="0" distL="0" distR="0">
            <wp:extent cx="1471295" cy="1450975"/>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471295" cy="1450975"/>
                    </a:xfrm>
                    <a:prstGeom prst="rect">
                      <a:avLst/>
                    </a:prstGeom>
                    <a:noFill/>
                    <a:ln>
                      <a:noFill/>
                    </a:ln>
                  </pic:spPr>
                </pic:pic>
              </a:graphicData>
            </a:graphic>
          </wp:inline>
        </w:drawing>
      </w:r>
    </w:p>
    <w:p w14:paraId="074761DE" w14:textId="77777777" w:rsidR="00DD1E0B" w:rsidRDefault="00DD1E0B">
      <w:pPr>
        <w:spacing w:line="360" w:lineRule="atLeast"/>
        <w:ind w:firstLineChars="0" w:firstLine="0"/>
        <w:rPr>
          <w:rFonts w:ascii="楷体" w:eastAsia="楷体" w:hAnsi="楷体"/>
          <w:b/>
          <w:color w:val="002060"/>
          <w:sz w:val="36"/>
          <w:szCs w:val="36"/>
        </w:rPr>
      </w:pPr>
    </w:p>
    <w:p w14:paraId="58824070" w14:textId="77777777" w:rsidR="00DD1E0B" w:rsidRDefault="00DD1E0B">
      <w:pPr>
        <w:spacing w:line="360" w:lineRule="atLeast"/>
        <w:ind w:firstLine="723"/>
        <w:jc w:val="center"/>
        <w:rPr>
          <w:rFonts w:ascii="楷体" w:eastAsia="楷体" w:hAnsi="楷体"/>
          <w:b/>
          <w:color w:val="002060"/>
          <w:sz w:val="36"/>
          <w:szCs w:val="36"/>
        </w:rPr>
      </w:pPr>
    </w:p>
    <w:p w14:paraId="17EEEAC5" w14:textId="77777777" w:rsidR="00DD1E0B" w:rsidRDefault="00C924F2">
      <w:pPr>
        <w:spacing w:line="360" w:lineRule="atLeast"/>
        <w:ind w:firstLine="723"/>
        <w:jc w:val="center"/>
        <w:rPr>
          <w:rFonts w:ascii="楷体" w:eastAsia="楷体" w:hAnsi="楷体"/>
          <w:b/>
          <w:color w:val="3B3838" w:themeColor="background2" w:themeShade="40"/>
          <w:sz w:val="36"/>
          <w:szCs w:val="36"/>
        </w:rPr>
      </w:pPr>
      <w:r>
        <w:rPr>
          <w:rFonts w:ascii="楷体" w:eastAsia="楷体" w:hAnsi="楷体" w:hint="eastAsia"/>
          <w:b/>
          <w:color w:val="3B3838" w:themeColor="background2" w:themeShade="40"/>
          <w:sz w:val="36"/>
          <w:szCs w:val="36"/>
        </w:rPr>
        <w:t>主办单位：</w:t>
      </w:r>
    </w:p>
    <w:p w14:paraId="43B1587D" w14:textId="77777777" w:rsidR="00DD1E0B" w:rsidRDefault="00C924F2">
      <w:pPr>
        <w:spacing w:line="360" w:lineRule="atLeast"/>
        <w:ind w:firstLine="723"/>
        <w:jc w:val="center"/>
        <w:rPr>
          <w:rFonts w:ascii="楷体" w:eastAsia="楷体" w:hAnsi="楷体"/>
          <w:b/>
          <w:color w:val="3B3838" w:themeColor="background2" w:themeShade="40"/>
          <w:sz w:val="36"/>
          <w:szCs w:val="36"/>
        </w:rPr>
      </w:pPr>
      <w:r>
        <w:rPr>
          <w:rFonts w:ascii="楷体" w:eastAsia="楷体" w:hAnsi="楷体" w:hint="eastAsia"/>
          <w:b/>
          <w:color w:val="3B3838" w:themeColor="background2" w:themeShade="40"/>
          <w:sz w:val="36"/>
          <w:szCs w:val="36"/>
        </w:rPr>
        <w:t>上</w:t>
      </w:r>
      <w:r>
        <w:rPr>
          <w:rFonts w:ascii="楷体" w:eastAsia="楷体" w:hAnsi="楷体"/>
          <w:b/>
          <w:color w:val="3B3838" w:themeColor="background2" w:themeShade="40"/>
          <w:sz w:val="36"/>
          <w:szCs w:val="36"/>
        </w:rPr>
        <w:t>海财经大学公共政策与治理研究</w:t>
      </w:r>
      <w:r>
        <w:rPr>
          <w:rFonts w:ascii="楷体" w:eastAsia="楷体" w:hAnsi="楷体" w:hint="eastAsia"/>
          <w:b/>
          <w:color w:val="3B3838" w:themeColor="background2" w:themeShade="40"/>
          <w:sz w:val="36"/>
          <w:szCs w:val="36"/>
        </w:rPr>
        <w:t>院</w:t>
      </w:r>
    </w:p>
    <w:p w14:paraId="059C93D9" w14:textId="77777777" w:rsidR="00DD1E0B" w:rsidRDefault="00C924F2">
      <w:pPr>
        <w:spacing w:line="360" w:lineRule="atLeast"/>
        <w:ind w:firstLine="723"/>
        <w:rPr>
          <w:rFonts w:ascii="楷体" w:eastAsia="楷体" w:hAnsi="楷体"/>
          <w:b/>
          <w:color w:val="3B3838" w:themeColor="background2" w:themeShade="40"/>
          <w:sz w:val="36"/>
          <w:szCs w:val="36"/>
        </w:rPr>
      </w:pPr>
      <w:r>
        <w:rPr>
          <w:rFonts w:ascii="楷体" w:eastAsia="楷体" w:hAnsi="楷体" w:hint="eastAsia"/>
          <w:b/>
          <w:color w:val="3B3838" w:themeColor="background2" w:themeShade="40"/>
          <w:sz w:val="36"/>
          <w:szCs w:val="36"/>
        </w:rPr>
        <w:lastRenderedPageBreak/>
        <w:t>版权说明：</w:t>
      </w:r>
    </w:p>
    <w:p w14:paraId="62E0968A" w14:textId="77777777" w:rsidR="00DD1E0B" w:rsidRDefault="00DD1E0B">
      <w:pPr>
        <w:spacing w:line="360" w:lineRule="atLeast"/>
        <w:ind w:firstLine="723"/>
        <w:rPr>
          <w:rFonts w:ascii="楷体" w:eastAsia="楷体" w:hAnsi="楷体"/>
          <w:b/>
          <w:color w:val="3B3838" w:themeColor="background2" w:themeShade="40"/>
          <w:sz w:val="36"/>
          <w:szCs w:val="36"/>
        </w:rPr>
      </w:pPr>
    </w:p>
    <w:p w14:paraId="5CFC1A80" w14:textId="77777777" w:rsidR="00DD1E0B" w:rsidRDefault="00C924F2">
      <w:pPr>
        <w:spacing w:line="360" w:lineRule="atLeast"/>
        <w:ind w:firstLine="562"/>
        <w:rPr>
          <w:rFonts w:ascii="楷体" w:eastAsia="楷体" w:hAnsi="楷体"/>
          <w:b/>
          <w:color w:val="3B3838" w:themeColor="background2" w:themeShade="40"/>
          <w:sz w:val="28"/>
          <w:szCs w:val="28"/>
        </w:rPr>
      </w:pPr>
      <w:r>
        <w:rPr>
          <w:rFonts w:ascii="楷体" w:eastAsia="楷体" w:hAnsi="楷体" w:hint="eastAsia"/>
          <w:b/>
          <w:color w:val="3B3838" w:themeColor="background2" w:themeShade="40"/>
          <w:sz w:val="28"/>
          <w:szCs w:val="28"/>
        </w:rPr>
        <w:t>《世界税收动态</w:t>
      </w:r>
      <w:r>
        <w:rPr>
          <w:rFonts w:ascii="楷体" w:eastAsia="楷体" w:hAnsi="楷体"/>
          <w:b/>
          <w:color w:val="3B3838" w:themeColor="background2" w:themeShade="40"/>
          <w:sz w:val="28"/>
          <w:szCs w:val="28"/>
        </w:rPr>
        <w:t>》</w:t>
      </w:r>
      <w:r>
        <w:rPr>
          <w:rFonts w:ascii="楷体" w:eastAsia="楷体" w:hAnsi="楷体" w:hint="eastAsia"/>
          <w:b/>
          <w:color w:val="3B3838" w:themeColor="background2" w:themeShade="40"/>
          <w:sz w:val="28"/>
          <w:szCs w:val="28"/>
        </w:rPr>
        <w:t>月刊由</w:t>
      </w:r>
      <w:r>
        <w:rPr>
          <w:rFonts w:ascii="楷体" w:eastAsia="楷体" w:hAnsi="楷体"/>
          <w:b/>
          <w:color w:val="3B3838" w:themeColor="background2" w:themeShade="40"/>
          <w:sz w:val="28"/>
          <w:szCs w:val="28"/>
        </w:rPr>
        <w:t>上海财经大学公共政策与治理研究院</w:t>
      </w:r>
      <w:r>
        <w:rPr>
          <w:rFonts w:ascii="楷体" w:eastAsia="楷体" w:hAnsi="楷体" w:hint="eastAsia"/>
          <w:b/>
          <w:color w:val="3B3838" w:themeColor="background2" w:themeShade="40"/>
          <w:sz w:val="28"/>
          <w:szCs w:val="28"/>
        </w:rPr>
        <w:t>制作。《世界税收动态</w:t>
      </w:r>
      <w:r>
        <w:rPr>
          <w:rFonts w:ascii="楷体" w:eastAsia="楷体" w:hAnsi="楷体"/>
          <w:b/>
          <w:color w:val="3B3838" w:themeColor="background2" w:themeShade="40"/>
          <w:sz w:val="28"/>
          <w:szCs w:val="28"/>
        </w:rPr>
        <w:t>》每</w:t>
      </w:r>
      <w:r>
        <w:rPr>
          <w:rFonts w:ascii="楷体" w:eastAsia="楷体" w:hAnsi="楷体" w:hint="eastAsia"/>
          <w:b/>
          <w:color w:val="3B3838" w:themeColor="background2" w:themeShade="40"/>
          <w:sz w:val="28"/>
          <w:szCs w:val="28"/>
        </w:rPr>
        <w:t>月</w:t>
      </w:r>
      <w:r>
        <w:rPr>
          <w:rFonts w:ascii="楷体" w:eastAsia="楷体" w:hAnsi="楷体" w:hint="eastAsia"/>
          <w:b/>
          <w:color w:val="3B3838" w:themeColor="background2" w:themeShade="40"/>
          <w:sz w:val="28"/>
          <w:szCs w:val="28"/>
        </w:rPr>
        <w:t>1</w:t>
      </w:r>
      <w:r>
        <w:rPr>
          <w:rFonts w:ascii="楷体" w:eastAsia="楷体" w:hAnsi="楷体" w:hint="eastAsia"/>
          <w:b/>
          <w:color w:val="3B3838" w:themeColor="background2" w:themeShade="40"/>
          <w:sz w:val="28"/>
          <w:szCs w:val="28"/>
        </w:rPr>
        <w:t>期</w:t>
      </w:r>
      <w:r>
        <w:rPr>
          <w:rFonts w:ascii="楷体" w:eastAsia="楷体" w:hAnsi="楷体"/>
          <w:b/>
          <w:color w:val="3B3838" w:themeColor="background2" w:themeShade="40"/>
          <w:sz w:val="28"/>
          <w:szCs w:val="28"/>
        </w:rPr>
        <w:t>，</w:t>
      </w:r>
      <w:r>
        <w:rPr>
          <w:rFonts w:ascii="楷体" w:eastAsia="楷体" w:hAnsi="楷体" w:hint="eastAsia"/>
          <w:b/>
          <w:color w:val="3B3838" w:themeColor="background2" w:themeShade="40"/>
          <w:sz w:val="28"/>
          <w:szCs w:val="28"/>
        </w:rPr>
        <w:t>专业提供各国当月税收政策、税法变动和税务管理动态。以专业视角、客观详实、及时准确、全面地反映每月世界各国最新的税改政策、进展和趋势。让读者更好了解世界税改动态、税改产生的经济影响，也为理论研究准备了资料和分析依据。</w:t>
      </w:r>
    </w:p>
    <w:p w14:paraId="4E918FB1" w14:textId="77777777" w:rsidR="00DD1E0B" w:rsidRDefault="00DD1E0B">
      <w:pPr>
        <w:spacing w:line="360" w:lineRule="atLeast"/>
        <w:ind w:firstLine="562"/>
        <w:rPr>
          <w:rFonts w:ascii="楷体" w:eastAsia="楷体" w:hAnsi="楷体"/>
          <w:b/>
          <w:color w:val="3B3838" w:themeColor="background2" w:themeShade="40"/>
          <w:sz w:val="28"/>
          <w:szCs w:val="28"/>
        </w:rPr>
      </w:pPr>
    </w:p>
    <w:p w14:paraId="4142686B" w14:textId="77777777" w:rsidR="00DD1E0B" w:rsidRDefault="00DD1E0B">
      <w:pPr>
        <w:spacing w:line="360" w:lineRule="atLeast"/>
        <w:ind w:firstLine="723"/>
        <w:rPr>
          <w:rFonts w:ascii="仿宋" w:hAnsi="仿宋"/>
          <w:b/>
          <w:color w:val="3B3838" w:themeColor="background2" w:themeShade="40"/>
          <w:sz w:val="36"/>
          <w:szCs w:val="36"/>
        </w:rPr>
      </w:pPr>
    </w:p>
    <w:p w14:paraId="2BACB906" w14:textId="77777777" w:rsidR="00DD1E0B" w:rsidRDefault="00DD1E0B">
      <w:pPr>
        <w:spacing w:line="360" w:lineRule="atLeast"/>
        <w:ind w:firstLine="723"/>
        <w:rPr>
          <w:rFonts w:ascii="仿宋" w:hAnsi="仿宋"/>
          <w:b/>
          <w:color w:val="3B3838" w:themeColor="background2" w:themeShade="40"/>
          <w:sz w:val="36"/>
          <w:szCs w:val="36"/>
        </w:rPr>
      </w:pPr>
    </w:p>
    <w:p w14:paraId="1C42E117" w14:textId="77777777" w:rsidR="00DD1E0B" w:rsidRDefault="00DD1E0B">
      <w:pPr>
        <w:spacing w:line="360" w:lineRule="atLeast"/>
        <w:ind w:firstLine="723"/>
        <w:rPr>
          <w:rFonts w:ascii="仿宋" w:hAnsi="仿宋"/>
          <w:b/>
          <w:color w:val="3B3838" w:themeColor="background2" w:themeShade="40"/>
          <w:sz w:val="36"/>
          <w:szCs w:val="36"/>
        </w:rPr>
      </w:pPr>
    </w:p>
    <w:p w14:paraId="4CC1F4E3" w14:textId="77777777" w:rsidR="00DD1E0B" w:rsidRDefault="00DD1E0B">
      <w:pPr>
        <w:spacing w:line="360" w:lineRule="atLeast"/>
        <w:ind w:firstLine="723"/>
        <w:rPr>
          <w:rFonts w:ascii="仿宋" w:hAnsi="仿宋"/>
          <w:b/>
          <w:color w:val="3B3838" w:themeColor="background2" w:themeShade="40"/>
          <w:sz w:val="36"/>
          <w:szCs w:val="36"/>
        </w:rPr>
      </w:pPr>
    </w:p>
    <w:p w14:paraId="47DC97E2" w14:textId="77777777" w:rsidR="00DD1E0B" w:rsidRDefault="00DD1E0B">
      <w:pPr>
        <w:spacing w:line="360" w:lineRule="atLeast"/>
        <w:ind w:firstLine="723"/>
        <w:rPr>
          <w:rFonts w:ascii="仿宋" w:hAnsi="仿宋"/>
          <w:b/>
          <w:color w:val="3B3838" w:themeColor="background2" w:themeShade="40"/>
          <w:sz w:val="36"/>
          <w:szCs w:val="36"/>
        </w:rPr>
      </w:pPr>
    </w:p>
    <w:p w14:paraId="74BB96C2" w14:textId="77777777" w:rsidR="00DD1E0B" w:rsidRDefault="00DD1E0B">
      <w:pPr>
        <w:spacing w:line="360" w:lineRule="atLeast"/>
        <w:ind w:firstLine="723"/>
        <w:rPr>
          <w:rFonts w:ascii="仿宋" w:hAnsi="仿宋"/>
          <w:b/>
          <w:color w:val="3B3838" w:themeColor="background2" w:themeShade="40"/>
          <w:sz w:val="36"/>
          <w:szCs w:val="36"/>
        </w:rPr>
      </w:pPr>
    </w:p>
    <w:p w14:paraId="5B9392A0" w14:textId="77777777" w:rsidR="00DD1E0B" w:rsidRDefault="00C924F2">
      <w:pPr>
        <w:pStyle w:val="af2"/>
        <w:spacing w:line="360" w:lineRule="atLeast"/>
        <w:ind w:left="480" w:firstLine="480"/>
        <w:rPr>
          <w:rFonts w:ascii="楷体" w:eastAsia="楷体" w:hAnsi="楷体"/>
          <w:b/>
          <w:color w:val="3B3838" w:themeColor="background2" w:themeShade="40"/>
        </w:rPr>
      </w:pPr>
      <w:r>
        <w:rPr>
          <w:rFonts w:ascii="仿宋" w:hAnsi="仿宋" w:hint="eastAsia"/>
          <w:color w:val="3B3838" w:themeColor="background2" w:themeShade="40"/>
        </w:rPr>
        <w:t xml:space="preserve">                               </w:t>
      </w:r>
    </w:p>
    <w:p w14:paraId="476CF198" w14:textId="77777777" w:rsidR="00DD1E0B" w:rsidRDefault="00C924F2">
      <w:pPr>
        <w:pStyle w:val="af2"/>
        <w:spacing w:line="360" w:lineRule="atLeast"/>
        <w:ind w:left="480" w:firstLineChars="1600" w:firstLine="3855"/>
        <w:rPr>
          <w:rFonts w:ascii="楷体" w:eastAsia="楷体" w:hAnsi="楷体"/>
          <w:b/>
          <w:color w:val="3B3838" w:themeColor="background2" w:themeShade="40"/>
        </w:rPr>
      </w:pPr>
      <w:r>
        <w:rPr>
          <w:rFonts w:ascii="楷体" w:eastAsia="楷体" w:hAnsi="楷体" w:hint="eastAsia"/>
          <w:b/>
          <w:color w:val="3B3838" w:themeColor="background2" w:themeShade="40"/>
        </w:rPr>
        <w:t>世界税收</w:t>
      </w:r>
      <w:r>
        <w:rPr>
          <w:rFonts w:ascii="楷体" w:eastAsia="楷体" w:hAnsi="楷体"/>
          <w:b/>
          <w:color w:val="3B3838" w:themeColor="background2" w:themeShade="40"/>
        </w:rPr>
        <w:t>动态</w:t>
      </w:r>
      <w:r>
        <w:rPr>
          <w:rFonts w:ascii="楷体" w:eastAsia="楷体" w:hAnsi="楷体" w:hint="eastAsia"/>
          <w:b/>
          <w:color w:val="3B3838" w:themeColor="background2" w:themeShade="40"/>
        </w:rPr>
        <w:t>工作团队</w:t>
      </w:r>
      <w:r>
        <w:rPr>
          <w:rFonts w:ascii="楷体" w:eastAsia="楷体" w:hAnsi="楷体"/>
          <w:b/>
          <w:color w:val="3B3838" w:themeColor="background2" w:themeShade="40"/>
        </w:rPr>
        <w:t>：</w:t>
      </w:r>
    </w:p>
    <w:p w14:paraId="397D3C85" w14:textId="77777777" w:rsidR="00DD1E0B" w:rsidRDefault="00C924F2">
      <w:pPr>
        <w:pStyle w:val="af2"/>
        <w:spacing w:line="360" w:lineRule="atLeast"/>
        <w:ind w:left="480" w:firstLineChars="1600" w:firstLine="3855"/>
        <w:rPr>
          <w:rFonts w:ascii="楷体" w:eastAsia="楷体" w:hAnsi="楷体"/>
          <w:b/>
          <w:color w:val="3B3838" w:themeColor="background2" w:themeShade="40"/>
        </w:rPr>
      </w:pPr>
      <w:r>
        <w:rPr>
          <w:rFonts w:ascii="楷体" w:eastAsia="楷体" w:hAnsi="楷体" w:hint="eastAsia"/>
          <w:b/>
          <w:color w:val="3B3838" w:themeColor="background2" w:themeShade="40"/>
        </w:rPr>
        <w:t>负责</w:t>
      </w:r>
      <w:r>
        <w:rPr>
          <w:rFonts w:ascii="楷体" w:eastAsia="楷体" w:hAnsi="楷体"/>
          <w:b/>
          <w:color w:val="3B3838" w:themeColor="background2" w:themeShade="40"/>
        </w:rPr>
        <w:t>：田志伟</w:t>
      </w:r>
      <w:r>
        <w:rPr>
          <w:rFonts w:ascii="楷体" w:eastAsia="楷体" w:hAnsi="楷体" w:hint="eastAsia"/>
          <w:b/>
          <w:color w:val="3B3838" w:themeColor="background2" w:themeShade="40"/>
        </w:rPr>
        <w:t xml:space="preserve"> </w:t>
      </w:r>
      <w:r>
        <w:rPr>
          <w:rFonts w:ascii="楷体" w:eastAsia="楷体" w:hAnsi="楷体" w:hint="eastAsia"/>
          <w:b/>
          <w:color w:val="3B3838" w:themeColor="background2" w:themeShade="40"/>
        </w:rPr>
        <w:t>郑诗倩</w:t>
      </w:r>
      <w:r>
        <w:rPr>
          <w:rFonts w:ascii="楷体" w:eastAsia="楷体" w:hAnsi="楷体" w:hint="eastAsia"/>
          <w:b/>
          <w:color w:val="3B3838" w:themeColor="background2" w:themeShade="40"/>
        </w:rPr>
        <w:t xml:space="preserve"> </w:t>
      </w:r>
      <w:r>
        <w:rPr>
          <w:rFonts w:ascii="楷体" w:eastAsia="楷体" w:hAnsi="楷体" w:hint="eastAsia"/>
          <w:b/>
          <w:color w:val="3B3838" w:themeColor="background2" w:themeShade="40"/>
        </w:rPr>
        <w:t>蔡春光</w:t>
      </w:r>
    </w:p>
    <w:p w14:paraId="14878E2A" w14:textId="77777777" w:rsidR="00DD1E0B" w:rsidRDefault="00C924F2">
      <w:pPr>
        <w:pStyle w:val="af2"/>
        <w:spacing w:line="360" w:lineRule="atLeast"/>
        <w:ind w:left="480" w:firstLineChars="1600" w:firstLine="3855"/>
        <w:rPr>
          <w:rFonts w:ascii="楷体" w:eastAsia="楷体" w:hAnsi="楷体"/>
          <w:b/>
          <w:color w:val="3B3838" w:themeColor="background2" w:themeShade="40"/>
        </w:rPr>
      </w:pPr>
      <w:r>
        <w:rPr>
          <w:rFonts w:ascii="楷体" w:eastAsia="楷体" w:hAnsi="楷体" w:hint="eastAsia"/>
          <w:b/>
          <w:color w:val="3B3838" w:themeColor="background2" w:themeShade="40"/>
        </w:rPr>
        <w:t>参与</w:t>
      </w:r>
      <w:r>
        <w:rPr>
          <w:rFonts w:ascii="楷体" w:eastAsia="楷体" w:hAnsi="楷体"/>
          <w:b/>
          <w:color w:val="3B3838" w:themeColor="background2" w:themeShade="40"/>
        </w:rPr>
        <w:t>：</w:t>
      </w:r>
      <w:r>
        <w:rPr>
          <w:rFonts w:ascii="楷体" w:eastAsia="楷体" w:hAnsi="楷体" w:hint="eastAsia"/>
          <w:b/>
          <w:color w:val="3B3838" w:themeColor="background2" w:themeShade="40"/>
        </w:rPr>
        <w:t>史良</w:t>
      </w:r>
      <w:r>
        <w:rPr>
          <w:rFonts w:ascii="楷体" w:eastAsia="楷体" w:hAnsi="楷体" w:hint="eastAsia"/>
          <w:b/>
          <w:color w:val="3B3838" w:themeColor="background2" w:themeShade="40"/>
        </w:rPr>
        <w:t xml:space="preserve"> </w:t>
      </w:r>
      <w:r>
        <w:rPr>
          <w:rFonts w:ascii="楷体" w:eastAsia="楷体" w:hAnsi="楷体" w:hint="eastAsia"/>
          <w:b/>
          <w:color w:val="3B3838" w:themeColor="background2" w:themeShade="40"/>
        </w:rPr>
        <w:t>周曌</w:t>
      </w:r>
      <w:r>
        <w:rPr>
          <w:rFonts w:ascii="楷体" w:eastAsia="楷体" w:hAnsi="楷体" w:hint="eastAsia"/>
          <w:b/>
          <w:color w:val="3B3838" w:themeColor="background2" w:themeShade="40"/>
        </w:rPr>
        <w:t xml:space="preserve"> </w:t>
      </w:r>
    </w:p>
    <w:p w14:paraId="2F659E8D" w14:textId="77777777" w:rsidR="00DD1E0B" w:rsidRDefault="00C924F2">
      <w:pPr>
        <w:pStyle w:val="af2"/>
        <w:spacing w:line="360" w:lineRule="atLeast"/>
        <w:ind w:left="480" w:firstLineChars="1600" w:firstLine="3855"/>
        <w:rPr>
          <w:rFonts w:ascii="楷体" w:eastAsia="楷体" w:hAnsi="楷体"/>
          <w:b/>
          <w:color w:val="3B3838" w:themeColor="background2" w:themeShade="40"/>
        </w:rPr>
      </w:pPr>
      <w:r>
        <w:rPr>
          <w:rFonts w:ascii="楷体" w:eastAsia="楷体" w:hAnsi="楷体"/>
          <w:b/>
          <w:color w:val="3B3838" w:themeColor="background2" w:themeShade="40"/>
        </w:rPr>
        <w:t xml:space="preserve"> </w:t>
      </w:r>
    </w:p>
    <w:p w14:paraId="68805106" w14:textId="77777777" w:rsidR="00DD1E0B" w:rsidRDefault="00DD1E0B">
      <w:pPr>
        <w:pStyle w:val="11"/>
        <w:ind w:firstLine="480"/>
      </w:pPr>
    </w:p>
    <w:p w14:paraId="1DB1502A" w14:textId="77777777" w:rsidR="00DD1E0B" w:rsidRDefault="00DD1E0B">
      <w:pPr>
        <w:widowControl/>
        <w:spacing w:line="240" w:lineRule="auto"/>
        <w:ind w:firstLineChars="0" w:firstLine="0"/>
        <w:jc w:val="left"/>
        <w:rPr>
          <w:b/>
          <w:bCs/>
          <w:kern w:val="44"/>
          <w:szCs w:val="44"/>
        </w:rPr>
      </w:pPr>
    </w:p>
    <w:p w14:paraId="365D0DD6" w14:textId="77777777" w:rsidR="00DD1E0B" w:rsidRDefault="00C924F2">
      <w:pPr>
        <w:pStyle w:val="11"/>
        <w:tabs>
          <w:tab w:val="right" w:leader="dot" w:pos="8296"/>
        </w:tabs>
        <w:jc w:val="center"/>
      </w:pPr>
      <w:r>
        <w:rPr>
          <w:rFonts w:hint="eastAsia"/>
        </w:rPr>
        <w:lastRenderedPageBreak/>
        <w:t>目</w:t>
      </w:r>
      <w:r>
        <w:rPr>
          <w:rFonts w:hint="eastAsia"/>
        </w:rPr>
        <w:t xml:space="preserve"> </w:t>
      </w:r>
      <w:r>
        <w:rPr>
          <w:rFonts w:hint="eastAsia"/>
        </w:rPr>
        <w:t>录</w:t>
      </w:r>
    </w:p>
    <w:p w14:paraId="2AE89586" w14:textId="77777777" w:rsidR="00DD1E0B" w:rsidRDefault="00C924F2">
      <w:pPr>
        <w:pStyle w:val="11"/>
        <w:tabs>
          <w:tab w:val="right" w:leader="dot" w:pos="8296"/>
        </w:tabs>
        <w:rPr>
          <w:rFonts w:eastAsiaTheme="minorEastAsia"/>
          <w:sz w:val="21"/>
          <w:szCs w:val="22"/>
        </w:rPr>
      </w:pPr>
      <w:r>
        <w:fldChar w:fldCharType="begin"/>
      </w:r>
      <w:r>
        <w:instrText xml:space="preserve"> TOC \h \z \t "</w:instrText>
      </w:r>
      <w:r>
        <w:instrText>标题</w:instrText>
      </w:r>
      <w:r>
        <w:instrText xml:space="preserve"> 1,1,</w:instrText>
      </w:r>
      <w:r>
        <w:instrText>标题</w:instrText>
      </w:r>
      <w:r>
        <w:instrText xml:space="preserve"> 2,2" </w:instrText>
      </w:r>
      <w:r>
        <w:fldChar w:fldCharType="separate"/>
      </w:r>
      <w:hyperlink w:anchor="_Toc508835190" w:history="1">
        <w:r>
          <w:rPr>
            <w:rStyle w:val="af7"/>
          </w:rPr>
          <w:t>加拿大</w:t>
        </w:r>
        <w:r>
          <w:tab/>
        </w:r>
        <w:r>
          <w:fldChar w:fldCharType="begin"/>
        </w:r>
        <w:r>
          <w:instrText xml:space="preserve"> PAGEREF _Toc508835190 \h </w:instrText>
        </w:r>
        <w:r>
          <w:fldChar w:fldCharType="separate"/>
        </w:r>
        <w:r>
          <w:t>1</w:t>
        </w:r>
        <w:r>
          <w:fldChar w:fldCharType="end"/>
        </w:r>
      </w:hyperlink>
    </w:p>
    <w:p w14:paraId="37BCF3CC" w14:textId="77777777" w:rsidR="00DD1E0B" w:rsidRDefault="00C924F2">
      <w:pPr>
        <w:pStyle w:val="21"/>
        <w:tabs>
          <w:tab w:val="right" w:leader="dot" w:pos="8296"/>
        </w:tabs>
        <w:ind w:left="480" w:firstLine="480"/>
        <w:rPr>
          <w:rFonts w:asciiTheme="minorHAnsi" w:eastAsiaTheme="minorEastAsia" w:hAnsiTheme="minorHAnsi"/>
          <w:sz w:val="21"/>
        </w:rPr>
      </w:pPr>
      <w:hyperlink w:anchor="_Toc508835191" w:history="1">
        <w:r>
          <w:rPr>
            <w:rStyle w:val="af7"/>
          </w:rPr>
          <w:t>加拿大财政部公布碳税立法的草案文件和监管框架</w:t>
        </w:r>
        <w:r>
          <w:tab/>
        </w:r>
        <w:r>
          <w:fldChar w:fldCharType="begin"/>
        </w:r>
        <w:r>
          <w:instrText xml:space="preserve"> PAGEREF _Toc508835191 \h </w:instrText>
        </w:r>
        <w:r>
          <w:fldChar w:fldCharType="separate"/>
        </w:r>
        <w:r>
          <w:t>1</w:t>
        </w:r>
        <w:r>
          <w:fldChar w:fldCharType="end"/>
        </w:r>
      </w:hyperlink>
    </w:p>
    <w:p w14:paraId="66E1A2D6" w14:textId="77777777" w:rsidR="00DD1E0B" w:rsidRDefault="00C924F2">
      <w:pPr>
        <w:pStyle w:val="21"/>
        <w:tabs>
          <w:tab w:val="right" w:leader="dot" w:pos="8296"/>
        </w:tabs>
        <w:ind w:left="480" w:firstLine="480"/>
        <w:rPr>
          <w:rFonts w:asciiTheme="minorHAnsi" w:eastAsiaTheme="minorEastAsia" w:hAnsiTheme="minorHAnsi"/>
          <w:sz w:val="21"/>
        </w:rPr>
      </w:pPr>
      <w:hyperlink w:anchor="_Toc508835192" w:history="1">
        <w:r>
          <w:rPr>
            <w:rStyle w:val="af7"/>
          </w:rPr>
          <w:t>加拿大</w:t>
        </w:r>
        <w:r>
          <w:rPr>
            <w:rStyle w:val="af7"/>
          </w:rPr>
          <w:t>201</w:t>
        </w:r>
        <w:r>
          <w:rPr>
            <w:rStyle w:val="af7"/>
          </w:rPr>
          <w:t>8</w:t>
        </w:r>
        <w:r>
          <w:rPr>
            <w:rStyle w:val="af7"/>
          </w:rPr>
          <w:t>年联邦预算法案定于</w:t>
        </w:r>
        <w:r>
          <w:rPr>
            <w:rStyle w:val="af7"/>
          </w:rPr>
          <w:t>2018</w:t>
        </w:r>
        <w:r>
          <w:rPr>
            <w:rStyle w:val="af7"/>
          </w:rPr>
          <w:t>年</w:t>
        </w:r>
        <w:r>
          <w:rPr>
            <w:rStyle w:val="af7"/>
          </w:rPr>
          <w:t>2</w:t>
        </w:r>
        <w:r>
          <w:rPr>
            <w:rStyle w:val="af7"/>
          </w:rPr>
          <w:t>月</w:t>
        </w:r>
        <w:r>
          <w:rPr>
            <w:rStyle w:val="af7"/>
          </w:rPr>
          <w:t>27</w:t>
        </w:r>
        <w:r>
          <w:rPr>
            <w:rStyle w:val="af7"/>
          </w:rPr>
          <w:t>日提交</w:t>
        </w:r>
        <w:r>
          <w:tab/>
        </w:r>
        <w:r>
          <w:fldChar w:fldCharType="begin"/>
        </w:r>
        <w:r>
          <w:instrText xml:space="preserve"> PAGEREF _Toc508835192 \h </w:instrText>
        </w:r>
        <w:r>
          <w:fldChar w:fldCharType="separate"/>
        </w:r>
        <w:r>
          <w:t>3</w:t>
        </w:r>
        <w:r>
          <w:fldChar w:fldCharType="end"/>
        </w:r>
      </w:hyperlink>
    </w:p>
    <w:p w14:paraId="7930E1C0" w14:textId="77777777" w:rsidR="00DD1E0B" w:rsidRDefault="00C924F2">
      <w:pPr>
        <w:pStyle w:val="21"/>
        <w:tabs>
          <w:tab w:val="right" w:leader="dot" w:pos="8296"/>
        </w:tabs>
        <w:ind w:left="480" w:firstLine="480"/>
        <w:rPr>
          <w:rFonts w:asciiTheme="minorHAnsi" w:eastAsiaTheme="minorEastAsia" w:hAnsiTheme="minorHAnsi"/>
          <w:sz w:val="21"/>
        </w:rPr>
      </w:pPr>
      <w:hyperlink w:anchor="_Toc508835193" w:history="1">
        <w:r>
          <w:rPr>
            <w:rStyle w:val="af7"/>
          </w:rPr>
          <w:t>不列颠哥伦比亚省</w:t>
        </w:r>
        <w:r>
          <w:rPr>
            <w:rStyle w:val="af7"/>
          </w:rPr>
          <w:t>2018</w:t>
        </w:r>
        <w:r>
          <w:rPr>
            <w:rStyle w:val="af7"/>
          </w:rPr>
          <w:t>年预算法案的亮点</w:t>
        </w:r>
        <w:r>
          <w:tab/>
        </w:r>
        <w:r>
          <w:fldChar w:fldCharType="begin"/>
        </w:r>
        <w:r>
          <w:instrText xml:space="preserve"> PAGEREF _Toc508835193 \h </w:instrText>
        </w:r>
        <w:r>
          <w:fldChar w:fldCharType="separate"/>
        </w:r>
        <w:r>
          <w:t>9</w:t>
        </w:r>
        <w:r>
          <w:fldChar w:fldCharType="end"/>
        </w:r>
      </w:hyperlink>
    </w:p>
    <w:p w14:paraId="6351862C" w14:textId="77777777" w:rsidR="00DD1E0B" w:rsidRDefault="00C924F2">
      <w:pPr>
        <w:pStyle w:val="11"/>
        <w:tabs>
          <w:tab w:val="right" w:leader="dot" w:pos="8296"/>
        </w:tabs>
        <w:rPr>
          <w:rFonts w:eastAsiaTheme="minorEastAsia"/>
          <w:sz w:val="21"/>
          <w:szCs w:val="22"/>
        </w:rPr>
      </w:pPr>
      <w:hyperlink w:anchor="_Toc508835194" w:history="1">
        <w:r>
          <w:rPr>
            <w:rStyle w:val="af7"/>
          </w:rPr>
          <w:t>乌拉圭</w:t>
        </w:r>
        <w:r>
          <w:tab/>
        </w:r>
        <w:r>
          <w:fldChar w:fldCharType="begin"/>
        </w:r>
        <w:r>
          <w:instrText xml:space="preserve"> PAGEREF _Toc508835194 \h </w:instrText>
        </w:r>
        <w:r>
          <w:fldChar w:fldCharType="separate"/>
        </w:r>
        <w:r>
          <w:t>14</w:t>
        </w:r>
        <w:r>
          <w:fldChar w:fldCharType="end"/>
        </w:r>
      </w:hyperlink>
    </w:p>
    <w:p w14:paraId="499536E7" w14:textId="77777777" w:rsidR="00DD1E0B" w:rsidRDefault="00C924F2">
      <w:pPr>
        <w:pStyle w:val="21"/>
        <w:tabs>
          <w:tab w:val="right" w:leader="dot" w:pos="8296"/>
        </w:tabs>
        <w:ind w:left="480" w:firstLine="480"/>
        <w:rPr>
          <w:rFonts w:asciiTheme="minorHAnsi" w:eastAsiaTheme="minorEastAsia" w:hAnsiTheme="minorHAnsi"/>
          <w:sz w:val="21"/>
        </w:rPr>
      </w:pPr>
      <w:hyperlink w:anchor="_Toc508835195" w:history="1">
        <w:r>
          <w:rPr>
            <w:rStyle w:val="af7"/>
          </w:rPr>
          <w:t>投资项目资产在使用寿命结束前销售的税收处理</w:t>
        </w:r>
        <w:r>
          <w:tab/>
        </w:r>
        <w:r>
          <w:fldChar w:fldCharType="begin"/>
        </w:r>
        <w:r>
          <w:instrText xml:space="preserve"> PAGEREF _Toc508835195 \h </w:instrText>
        </w:r>
        <w:r>
          <w:fldChar w:fldCharType="separate"/>
        </w:r>
        <w:r>
          <w:t>14</w:t>
        </w:r>
        <w:r>
          <w:fldChar w:fldCharType="end"/>
        </w:r>
      </w:hyperlink>
    </w:p>
    <w:p w14:paraId="7C680B7D" w14:textId="77777777" w:rsidR="00DD1E0B" w:rsidRDefault="00C924F2">
      <w:pPr>
        <w:pStyle w:val="11"/>
        <w:tabs>
          <w:tab w:val="right" w:leader="dot" w:pos="8296"/>
        </w:tabs>
        <w:rPr>
          <w:rFonts w:eastAsiaTheme="minorEastAsia"/>
          <w:sz w:val="21"/>
          <w:szCs w:val="22"/>
        </w:rPr>
      </w:pPr>
      <w:hyperlink w:anchor="_Toc508835196" w:history="1">
        <w:r>
          <w:rPr>
            <w:rStyle w:val="af7"/>
          </w:rPr>
          <w:t>澳大利亚</w:t>
        </w:r>
        <w:r>
          <w:tab/>
        </w:r>
        <w:r>
          <w:fldChar w:fldCharType="begin"/>
        </w:r>
        <w:r>
          <w:instrText xml:space="preserve"> </w:instrText>
        </w:r>
        <w:r>
          <w:instrText xml:space="preserve">PAGEREF _Toc508835196 \h </w:instrText>
        </w:r>
        <w:r>
          <w:fldChar w:fldCharType="separate"/>
        </w:r>
        <w:r>
          <w:t>17</w:t>
        </w:r>
        <w:r>
          <w:fldChar w:fldCharType="end"/>
        </w:r>
      </w:hyperlink>
    </w:p>
    <w:p w14:paraId="3E8DB6DE" w14:textId="77777777" w:rsidR="00DD1E0B" w:rsidRDefault="00C924F2">
      <w:pPr>
        <w:pStyle w:val="21"/>
        <w:tabs>
          <w:tab w:val="right" w:leader="dot" w:pos="8296"/>
        </w:tabs>
        <w:ind w:left="480" w:firstLine="480"/>
        <w:rPr>
          <w:rFonts w:asciiTheme="minorHAnsi" w:eastAsiaTheme="minorEastAsia" w:hAnsiTheme="minorHAnsi"/>
          <w:sz w:val="21"/>
        </w:rPr>
      </w:pPr>
      <w:hyperlink w:anchor="_Toc508835197" w:history="1">
        <w:r>
          <w:rPr>
            <w:rStyle w:val="af7"/>
          </w:rPr>
          <w:t>澳大利亚税务局发布《实践合规指南</w:t>
        </w:r>
        <w:r>
          <w:rPr>
            <w:rStyle w:val="af7"/>
          </w:rPr>
          <w:t>PCG 2018/ D2</w:t>
        </w:r>
        <w:r>
          <w:rPr>
            <w:rStyle w:val="af7"/>
          </w:rPr>
          <w:t>》</w:t>
        </w:r>
        <w:r>
          <w:tab/>
        </w:r>
        <w:r>
          <w:fldChar w:fldCharType="begin"/>
        </w:r>
        <w:r>
          <w:instrText xml:space="preserve"> PAGEREF _Toc508835197 \h </w:instrText>
        </w:r>
        <w:r>
          <w:fldChar w:fldCharType="separate"/>
        </w:r>
        <w:r>
          <w:t>17</w:t>
        </w:r>
        <w:r>
          <w:fldChar w:fldCharType="end"/>
        </w:r>
      </w:hyperlink>
    </w:p>
    <w:p w14:paraId="5DAD313F" w14:textId="77777777" w:rsidR="00DD1E0B" w:rsidRDefault="00C924F2">
      <w:pPr>
        <w:pStyle w:val="21"/>
        <w:tabs>
          <w:tab w:val="right" w:leader="dot" w:pos="8296"/>
        </w:tabs>
        <w:ind w:left="480" w:firstLine="480"/>
        <w:rPr>
          <w:rFonts w:asciiTheme="minorHAnsi" w:eastAsiaTheme="minorEastAsia" w:hAnsiTheme="minorHAnsi"/>
          <w:sz w:val="21"/>
        </w:rPr>
      </w:pPr>
      <w:hyperlink w:anchor="_Toc508835198" w:history="1">
        <w:r>
          <w:rPr>
            <w:rStyle w:val="af7"/>
          </w:rPr>
          <w:t>澳大利亚拟引入与房地产交易相关的商品和服务税扣缴措施</w:t>
        </w:r>
        <w:r>
          <w:tab/>
        </w:r>
        <w:r>
          <w:fldChar w:fldCharType="begin"/>
        </w:r>
        <w:r>
          <w:instrText xml:space="preserve"> PAGEREF _Toc508835198 \h </w:instrText>
        </w:r>
        <w:r>
          <w:fldChar w:fldCharType="separate"/>
        </w:r>
        <w:r>
          <w:t>19</w:t>
        </w:r>
        <w:r>
          <w:fldChar w:fldCharType="end"/>
        </w:r>
      </w:hyperlink>
    </w:p>
    <w:p w14:paraId="3D82486B" w14:textId="77777777" w:rsidR="00DD1E0B" w:rsidRDefault="00C924F2">
      <w:pPr>
        <w:pStyle w:val="21"/>
        <w:tabs>
          <w:tab w:val="right" w:leader="dot" w:pos="8296"/>
        </w:tabs>
        <w:ind w:left="480" w:firstLine="480"/>
        <w:rPr>
          <w:rFonts w:asciiTheme="minorHAnsi" w:eastAsiaTheme="minorEastAsia" w:hAnsiTheme="minorHAnsi"/>
          <w:sz w:val="21"/>
        </w:rPr>
      </w:pPr>
      <w:hyperlink w:anchor="_Toc508835200" w:history="1">
        <w:r>
          <w:rPr>
            <w:rStyle w:val="af7"/>
          </w:rPr>
          <w:t>澳大利亚税务局公布国别报告指南</w:t>
        </w:r>
        <w:r>
          <w:tab/>
        </w:r>
        <w:r>
          <w:fldChar w:fldCharType="begin"/>
        </w:r>
        <w:r>
          <w:instrText xml:space="preserve"> PAGEREF _Toc508835200 \h </w:instrText>
        </w:r>
        <w:r>
          <w:fldChar w:fldCharType="separate"/>
        </w:r>
        <w:r>
          <w:t>21</w:t>
        </w:r>
        <w:r>
          <w:fldChar w:fldCharType="end"/>
        </w:r>
      </w:hyperlink>
    </w:p>
    <w:p w14:paraId="4A2113A0" w14:textId="77777777" w:rsidR="00DD1E0B" w:rsidRDefault="00C924F2">
      <w:pPr>
        <w:pStyle w:val="11"/>
        <w:tabs>
          <w:tab w:val="right" w:leader="dot" w:pos="8296"/>
        </w:tabs>
        <w:rPr>
          <w:rFonts w:eastAsiaTheme="minorEastAsia"/>
          <w:sz w:val="21"/>
          <w:szCs w:val="22"/>
        </w:rPr>
      </w:pPr>
      <w:hyperlink w:anchor="_Toc508835201" w:history="1">
        <w:r>
          <w:rPr>
            <w:rStyle w:val="af7"/>
          </w:rPr>
          <w:t>菲律宾</w:t>
        </w:r>
        <w:r>
          <w:tab/>
        </w:r>
        <w:r>
          <w:fldChar w:fldCharType="begin"/>
        </w:r>
        <w:r>
          <w:instrText xml:space="preserve"> PAGEREF _Toc508835201 \h </w:instrText>
        </w:r>
        <w:r>
          <w:fldChar w:fldCharType="separate"/>
        </w:r>
        <w:r>
          <w:t>23</w:t>
        </w:r>
        <w:r>
          <w:fldChar w:fldCharType="end"/>
        </w:r>
      </w:hyperlink>
      <w:bookmarkStart w:id="0" w:name="_GoBack"/>
      <w:bookmarkEnd w:id="0"/>
    </w:p>
    <w:p w14:paraId="71FACA66" w14:textId="77777777" w:rsidR="00DD1E0B" w:rsidRDefault="00C924F2">
      <w:pPr>
        <w:pStyle w:val="21"/>
        <w:tabs>
          <w:tab w:val="right" w:leader="dot" w:pos="8296"/>
        </w:tabs>
        <w:ind w:left="480" w:firstLine="480"/>
        <w:rPr>
          <w:rFonts w:asciiTheme="minorHAnsi" w:eastAsiaTheme="minorEastAsia" w:hAnsiTheme="minorHAnsi"/>
          <w:sz w:val="21"/>
        </w:rPr>
      </w:pPr>
      <w:hyperlink w:anchor="_Toc508835202" w:history="1">
        <w:r>
          <w:rPr>
            <w:rStyle w:val="af7"/>
          </w:rPr>
          <w:t>菲律宾参议院批准三项避免双重征税协定</w:t>
        </w:r>
        <w:r>
          <w:tab/>
        </w:r>
        <w:r>
          <w:fldChar w:fldCharType="begin"/>
        </w:r>
        <w:r>
          <w:instrText xml:space="preserve"> PAGEREF _Toc508835202 \h </w:instrText>
        </w:r>
        <w:r>
          <w:fldChar w:fldCharType="separate"/>
        </w:r>
        <w:r>
          <w:t>23</w:t>
        </w:r>
        <w:r>
          <w:fldChar w:fldCharType="end"/>
        </w:r>
      </w:hyperlink>
    </w:p>
    <w:p w14:paraId="3D338CC3" w14:textId="77777777" w:rsidR="00DD1E0B" w:rsidRDefault="00C924F2">
      <w:pPr>
        <w:pStyle w:val="11"/>
        <w:tabs>
          <w:tab w:val="right" w:leader="dot" w:pos="8296"/>
        </w:tabs>
        <w:rPr>
          <w:rFonts w:eastAsiaTheme="minorEastAsia"/>
          <w:sz w:val="21"/>
          <w:szCs w:val="22"/>
        </w:rPr>
      </w:pPr>
      <w:hyperlink w:anchor="_Toc508835203" w:history="1">
        <w:r>
          <w:rPr>
            <w:rStyle w:val="af7"/>
          </w:rPr>
          <w:t>泰国</w:t>
        </w:r>
        <w:r>
          <w:tab/>
        </w:r>
        <w:r>
          <w:fldChar w:fldCharType="begin"/>
        </w:r>
        <w:r>
          <w:instrText xml:space="preserve"> PAGEREF _Toc508835203 \h </w:instrText>
        </w:r>
        <w:r>
          <w:fldChar w:fldCharType="separate"/>
        </w:r>
        <w:r>
          <w:t>23</w:t>
        </w:r>
        <w:r>
          <w:fldChar w:fldCharType="end"/>
        </w:r>
      </w:hyperlink>
    </w:p>
    <w:p w14:paraId="7DABE948" w14:textId="77777777" w:rsidR="00DD1E0B" w:rsidRDefault="00C924F2">
      <w:pPr>
        <w:pStyle w:val="21"/>
        <w:tabs>
          <w:tab w:val="right" w:leader="dot" w:pos="8296"/>
        </w:tabs>
        <w:ind w:left="480" w:firstLine="480"/>
        <w:rPr>
          <w:rFonts w:asciiTheme="minorHAnsi" w:eastAsiaTheme="minorEastAsia" w:hAnsiTheme="minorHAnsi"/>
          <w:sz w:val="21"/>
        </w:rPr>
      </w:pPr>
      <w:hyperlink w:anchor="_Toc508835204" w:history="1">
        <w:r>
          <w:rPr>
            <w:rStyle w:val="af7"/>
          </w:rPr>
          <w:t>泰国《电子商务税法》草案（第二稿）结束咨询</w:t>
        </w:r>
        <w:r>
          <w:tab/>
        </w:r>
        <w:r>
          <w:fldChar w:fldCharType="begin"/>
        </w:r>
        <w:r>
          <w:instrText xml:space="preserve"> PAGEREF _Toc508835204 \h </w:instrText>
        </w:r>
        <w:r>
          <w:fldChar w:fldCharType="separate"/>
        </w:r>
        <w:r>
          <w:t>24</w:t>
        </w:r>
        <w:r>
          <w:fldChar w:fldCharType="end"/>
        </w:r>
      </w:hyperlink>
    </w:p>
    <w:p w14:paraId="47216432" w14:textId="77777777" w:rsidR="00DD1E0B" w:rsidRDefault="00C924F2">
      <w:pPr>
        <w:pStyle w:val="11"/>
        <w:tabs>
          <w:tab w:val="right" w:leader="dot" w:pos="8296"/>
        </w:tabs>
        <w:rPr>
          <w:rFonts w:eastAsiaTheme="minorEastAsia"/>
          <w:sz w:val="21"/>
          <w:szCs w:val="22"/>
        </w:rPr>
      </w:pPr>
      <w:hyperlink w:anchor="_Toc508835206" w:history="1">
        <w:r>
          <w:rPr>
            <w:rStyle w:val="af7"/>
          </w:rPr>
          <w:t>新加坡</w:t>
        </w:r>
        <w:r>
          <w:tab/>
        </w:r>
        <w:r>
          <w:fldChar w:fldCharType="begin"/>
        </w:r>
        <w:r>
          <w:instrText xml:space="preserve"> PAGEREF _Toc508835206 \h </w:instrText>
        </w:r>
        <w:r>
          <w:fldChar w:fldCharType="separate"/>
        </w:r>
        <w:r>
          <w:t>25</w:t>
        </w:r>
        <w:r>
          <w:fldChar w:fldCharType="end"/>
        </w:r>
      </w:hyperlink>
    </w:p>
    <w:p w14:paraId="670DA183" w14:textId="77777777" w:rsidR="00DD1E0B" w:rsidRDefault="00C924F2">
      <w:pPr>
        <w:pStyle w:val="21"/>
        <w:tabs>
          <w:tab w:val="right" w:leader="dot" w:pos="8296"/>
        </w:tabs>
        <w:ind w:left="480" w:firstLine="480"/>
        <w:rPr>
          <w:rFonts w:asciiTheme="minorHAnsi" w:eastAsiaTheme="minorEastAsia" w:hAnsiTheme="minorHAnsi"/>
          <w:sz w:val="21"/>
        </w:rPr>
      </w:pPr>
      <w:hyperlink w:anchor="_Toc508835207" w:history="1">
        <w:r>
          <w:rPr>
            <w:rStyle w:val="af7"/>
          </w:rPr>
          <w:t>新加坡税务局公布新版转让定价指南</w:t>
        </w:r>
        <w:r>
          <w:tab/>
        </w:r>
        <w:r>
          <w:fldChar w:fldCharType="begin"/>
        </w:r>
        <w:r>
          <w:instrText xml:space="preserve"> PAGEREF _Toc508835207 \h </w:instrText>
        </w:r>
        <w:r>
          <w:fldChar w:fldCharType="separate"/>
        </w:r>
        <w:r>
          <w:t>25</w:t>
        </w:r>
        <w:r>
          <w:fldChar w:fldCharType="end"/>
        </w:r>
      </w:hyperlink>
    </w:p>
    <w:p w14:paraId="10FA0625" w14:textId="77777777" w:rsidR="00DD1E0B" w:rsidRDefault="00C924F2">
      <w:pPr>
        <w:pStyle w:val="21"/>
        <w:tabs>
          <w:tab w:val="right" w:leader="dot" w:pos="8296"/>
        </w:tabs>
        <w:ind w:left="480" w:firstLine="480"/>
        <w:rPr>
          <w:rFonts w:asciiTheme="minorHAnsi" w:eastAsiaTheme="minorEastAsia" w:hAnsiTheme="minorHAnsi"/>
          <w:sz w:val="21"/>
        </w:rPr>
      </w:pPr>
      <w:hyperlink w:anchor="_Toc508835208" w:history="1">
        <w:r>
          <w:rPr>
            <w:rStyle w:val="af7"/>
          </w:rPr>
          <w:t>新加坡</w:t>
        </w:r>
        <w:r>
          <w:rPr>
            <w:rStyle w:val="af7"/>
          </w:rPr>
          <w:t>2018</w:t>
        </w:r>
        <w:r>
          <w:rPr>
            <w:rStyle w:val="af7"/>
          </w:rPr>
          <w:t>年预算中的税收政策</w:t>
        </w:r>
        <w:r>
          <w:tab/>
        </w:r>
        <w:r>
          <w:fldChar w:fldCharType="begin"/>
        </w:r>
        <w:r>
          <w:instrText xml:space="preserve"> PAGEREF _Toc508835208 \h </w:instrText>
        </w:r>
        <w:r>
          <w:fldChar w:fldCharType="separate"/>
        </w:r>
        <w:r>
          <w:t>27</w:t>
        </w:r>
        <w:r>
          <w:fldChar w:fldCharType="end"/>
        </w:r>
      </w:hyperlink>
    </w:p>
    <w:p w14:paraId="62CA6DF7" w14:textId="77777777" w:rsidR="00DD1E0B" w:rsidRDefault="00C924F2">
      <w:pPr>
        <w:pStyle w:val="11"/>
        <w:tabs>
          <w:tab w:val="right" w:leader="dot" w:pos="8296"/>
        </w:tabs>
        <w:rPr>
          <w:rFonts w:eastAsiaTheme="minorEastAsia"/>
          <w:sz w:val="21"/>
          <w:szCs w:val="22"/>
        </w:rPr>
      </w:pPr>
      <w:hyperlink w:anchor="_Toc508835209" w:history="1">
        <w:r>
          <w:rPr>
            <w:rStyle w:val="af7"/>
          </w:rPr>
          <w:t>印度</w:t>
        </w:r>
        <w:r>
          <w:tab/>
        </w:r>
        <w:r>
          <w:fldChar w:fldCharType="begin"/>
        </w:r>
        <w:r>
          <w:instrText xml:space="preserve"> PAGEREF _Toc508835209 \h </w:instrText>
        </w:r>
        <w:r>
          <w:fldChar w:fldCharType="separate"/>
        </w:r>
        <w:r>
          <w:t>28</w:t>
        </w:r>
        <w:r>
          <w:fldChar w:fldCharType="end"/>
        </w:r>
      </w:hyperlink>
    </w:p>
    <w:p w14:paraId="0AE9833C" w14:textId="77777777" w:rsidR="00DD1E0B" w:rsidRDefault="00C924F2">
      <w:pPr>
        <w:pStyle w:val="21"/>
        <w:tabs>
          <w:tab w:val="right" w:leader="dot" w:pos="8296"/>
        </w:tabs>
        <w:ind w:left="480" w:firstLine="480"/>
        <w:rPr>
          <w:rFonts w:asciiTheme="minorHAnsi" w:eastAsiaTheme="minorEastAsia" w:hAnsiTheme="minorHAnsi"/>
          <w:sz w:val="21"/>
        </w:rPr>
      </w:pPr>
      <w:hyperlink w:anchor="_Toc508835210" w:history="1">
        <w:r>
          <w:rPr>
            <w:rStyle w:val="af7"/>
          </w:rPr>
          <w:t>印度计划扩大公司所得税</w:t>
        </w:r>
        <w:r>
          <w:rPr>
            <w:rStyle w:val="af7"/>
          </w:rPr>
          <w:t>25%</w:t>
        </w:r>
        <w:r>
          <w:rPr>
            <w:rStyle w:val="af7"/>
          </w:rPr>
          <w:t>优惠税率的适用范围</w:t>
        </w:r>
        <w:r>
          <w:tab/>
        </w:r>
        <w:r>
          <w:fldChar w:fldCharType="begin"/>
        </w:r>
        <w:r>
          <w:instrText xml:space="preserve"> PAGEREF _Toc508835210 \h </w:instrText>
        </w:r>
        <w:r>
          <w:fldChar w:fldCharType="separate"/>
        </w:r>
        <w:r>
          <w:t>28</w:t>
        </w:r>
        <w:r>
          <w:fldChar w:fldCharType="end"/>
        </w:r>
      </w:hyperlink>
    </w:p>
    <w:p w14:paraId="3B5C5ADB" w14:textId="77777777" w:rsidR="00DD1E0B" w:rsidRDefault="00C924F2">
      <w:pPr>
        <w:pStyle w:val="11"/>
        <w:tabs>
          <w:tab w:val="right" w:leader="dot" w:pos="8296"/>
        </w:tabs>
        <w:rPr>
          <w:rFonts w:eastAsiaTheme="minorEastAsia"/>
          <w:sz w:val="21"/>
          <w:szCs w:val="22"/>
        </w:rPr>
      </w:pPr>
      <w:hyperlink w:anchor="_Toc508835211" w:history="1">
        <w:r>
          <w:rPr>
            <w:rStyle w:val="af7"/>
          </w:rPr>
          <w:t>中国</w:t>
        </w:r>
        <w:r>
          <w:tab/>
        </w:r>
        <w:r>
          <w:fldChar w:fldCharType="begin"/>
        </w:r>
        <w:r>
          <w:instrText xml:space="preserve"> PAGEREF _Toc508835211 \h </w:instrText>
        </w:r>
        <w:r>
          <w:fldChar w:fldCharType="separate"/>
        </w:r>
        <w:r>
          <w:t>2</w:t>
        </w:r>
        <w:r>
          <w:t>9</w:t>
        </w:r>
        <w:r>
          <w:fldChar w:fldCharType="end"/>
        </w:r>
      </w:hyperlink>
    </w:p>
    <w:p w14:paraId="61165707" w14:textId="77777777" w:rsidR="00DD1E0B" w:rsidRDefault="00C924F2">
      <w:pPr>
        <w:pStyle w:val="21"/>
        <w:tabs>
          <w:tab w:val="right" w:leader="dot" w:pos="8296"/>
        </w:tabs>
        <w:ind w:left="480" w:firstLine="480"/>
        <w:rPr>
          <w:rFonts w:asciiTheme="minorHAnsi" w:eastAsiaTheme="minorEastAsia" w:hAnsiTheme="minorHAnsi"/>
          <w:sz w:val="21"/>
        </w:rPr>
      </w:pPr>
      <w:hyperlink w:anchor="_Toc508835212" w:history="1">
        <w:r>
          <w:rPr>
            <w:rStyle w:val="af7"/>
          </w:rPr>
          <w:t>中国香港发布</w:t>
        </w:r>
        <w:r>
          <w:rPr>
            <w:rStyle w:val="af7"/>
          </w:rPr>
          <w:t>2018</w:t>
        </w:r>
        <w:r>
          <w:rPr>
            <w:rStyle w:val="af7"/>
          </w:rPr>
          <w:t>财政预算案</w:t>
        </w:r>
        <w:r>
          <w:tab/>
        </w:r>
        <w:r>
          <w:fldChar w:fldCharType="begin"/>
        </w:r>
        <w:r>
          <w:instrText xml:space="preserve"> PAGEREF _Toc508835212 \h </w:instrText>
        </w:r>
        <w:r>
          <w:fldChar w:fldCharType="separate"/>
        </w:r>
        <w:r>
          <w:t>29</w:t>
        </w:r>
        <w:r>
          <w:fldChar w:fldCharType="end"/>
        </w:r>
      </w:hyperlink>
    </w:p>
    <w:p w14:paraId="31158EB8" w14:textId="77777777" w:rsidR="00DD1E0B" w:rsidRDefault="00C924F2">
      <w:pPr>
        <w:pStyle w:val="21"/>
        <w:tabs>
          <w:tab w:val="right" w:leader="dot" w:pos="8296"/>
        </w:tabs>
        <w:ind w:left="480" w:firstLine="480"/>
        <w:rPr>
          <w:rFonts w:asciiTheme="minorHAnsi" w:eastAsiaTheme="minorEastAsia" w:hAnsiTheme="minorHAnsi"/>
          <w:sz w:val="21"/>
        </w:rPr>
      </w:pPr>
      <w:hyperlink w:anchor="_Toc508835213" w:history="1">
        <w:r>
          <w:rPr>
            <w:rStyle w:val="af7"/>
          </w:rPr>
          <w:t>国家税务总局关于税收协定执行若干问题的公告</w:t>
        </w:r>
        <w:r>
          <w:tab/>
        </w:r>
        <w:r>
          <w:fldChar w:fldCharType="begin"/>
        </w:r>
        <w:r>
          <w:instrText xml:space="preserve"> PAGEREF _Toc508835213 \h </w:instrText>
        </w:r>
        <w:r>
          <w:fldChar w:fldCharType="separate"/>
        </w:r>
        <w:r>
          <w:t>31</w:t>
        </w:r>
        <w:r>
          <w:fldChar w:fldCharType="end"/>
        </w:r>
      </w:hyperlink>
    </w:p>
    <w:p w14:paraId="779513E9" w14:textId="77777777" w:rsidR="00DD1E0B" w:rsidRDefault="00C924F2">
      <w:pPr>
        <w:pStyle w:val="1"/>
        <w:sectPr w:rsidR="00DD1E0B">
          <w:headerReference w:type="even" r:id="rId10"/>
          <w:headerReference w:type="default" r:id="rId11"/>
          <w:footerReference w:type="even" r:id="rId12"/>
          <w:footerReference w:type="default" r:id="rId13"/>
          <w:headerReference w:type="first" r:id="rId14"/>
          <w:footerReference w:type="first" r:id="rId15"/>
          <w:footnotePr>
            <w:numFmt w:val="decimalEnclosedCircleChinese"/>
            <w:numRestart w:val="eachPage"/>
          </w:footnotePr>
          <w:pgSz w:w="11906" w:h="16838"/>
          <w:pgMar w:top="1440" w:right="1800" w:bottom="1440" w:left="1800" w:header="851" w:footer="992" w:gutter="0"/>
          <w:pgNumType w:start="1"/>
          <w:cols w:space="425"/>
          <w:docGrid w:type="lines" w:linePitch="312"/>
        </w:sectPr>
      </w:pPr>
      <w:r>
        <w:fldChar w:fldCharType="end"/>
      </w:r>
      <w:bookmarkStart w:id="1" w:name="_Toc487560711"/>
    </w:p>
    <w:p w14:paraId="2D29BBF8" w14:textId="77777777" w:rsidR="00DD1E0B" w:rsidRDefault="00DD1E0B">
      <w:pPr>
        <w:ind w:firstLineChars="0" w:firstLine="0"/>
        <w:rPr>
          <w:rFonts w:cs="Times New Roman"/>
        </w:rPr>
      </w:pPr>
      <w:bookmarkStart w:id="2" w:name="_Toc493407018"/>
      <w:bookmarkEnd w:id="1"/>
    </w:p>
    <w:p w14:paraId="351CE958" w14:textId="77777777" w:rsidR="00DD1E0B" w:rsidRDefault="00C924F2">
      <w:pPr>
        <w:pStyle w:val="1"/>
      </w:pPr>
      <w:bookmarkStart w:id="3" w:name="_Toc508835190"/>
      <w:bookmarkEnd w:id="2"/>
      <w:r>
        <w:t xml:space="preserve">1 </w:t>
      </w:r>
      <w:r>
        <w:t>加拿大</w:t>
      </w:r>
      <w:bookmarkEnd w:id="3"/>
    </w:p>
    <w:p w14:paraId="31309D0D" w14:textId="77777777" w:rsidR="00DD1E0B" w:rsidRDefault="00DD1E0B">
      <w:pPr>
        <w:ind w:firstLine="480"/>
        <w:rPr>
          <w:rFonts w:eastAsiaTheme="minorEastAsia" w:cs="Times New Roman"/>
          <w:szCs w:val="24"/>
        </w:rPr>
      </w:pPr>
    </w:p>
    <w:p w14:paraId="3105CB86" w14:textId="77777777" w:rsidR="00DD1E0B" w:rsidRDefault="00C924F2">
      <w:pPr>
        <w:pStyle w:val="2"/>
      </w:pPr>
      <w:bookmarkStart w:id="4" w:name="_Toc484380925"/>
      <w:bookmarkStart w:id="5" w:name="_Toc508835191"/>
      <w:r>
        <w:t>1.1</w:t>
      </w:r>
      <w:bookmarkEnd w:id="4"/>
      <w:r>
        <w:t xml:space="preserve"> </w:t>
      </w:r>
      <w:r>
        <w:rPr>
          <w:rFonts w:hint="eastAsia"/>
        </w:rPr>
        <w:t>加拿大财政部公布碳税立法的草案文件和监管框架</w:t>
      </w:r>
      <w:bookmarkEnd w:id="5"/>
    </w:p>
    <w:p w14:paraId="465D9850" w14:textId="77777777" w:rsidR="00DD1E0B" w:rsidRDefault="00C924F2">
      <w:pPr>
        <w:pStyle w:val="3"/>
      </w:pPr>
      <w:r>
        <w:t xml:space="preserve">1.1.1 </w:t>
      </w:r>
      <w:r>
        <w:t>内容</w:t>
      </w:r>
      <w:r>
        <w:rPr>
          <w:rStyle w:val="af9"/>
          <w:rFonts w:eastAsiaTheme="minorEastAsia" w:cs="Times New Roman"/>
          <w:szCs w:val="24"/>
        </w:rPr>
        <w:footnoteReference w:id="1"/>
      </w:r>
    </w:p>
    <w:p w14:paraId="00D3DDD2" w14:textId="77777777" w:rsidR="00DD1E0B" w:rsidRDefault="00C924F2">
      <w:pPr>
        <w:ind w:firstLine="480"/>
      </w:pPr>
      <w:r>
        <w:rPr>
          <w:rFonts w:hint="eastAsia"/>
        </w:rPr>
        <w:t>2018</w:t>
      </w:r>
      <w:r>
        <w:rPr>
          <w:rFonts w:hint="eastAsia"/>
        </w:rPr>
        <w:t>年</w:t>
      </w:r>
      <w:r>
        <w:rPr>
          <w:rFonts w:hint="eastAsia"/>
        </w:rPr>
        <w:t>1</w:t>
      </w:r>
      <w:r>
        <w:rPr>
          <w:rFonts w:hint="eastAsia"/>
        </w:rPr>
        <w:t>月</w:t>
      </w:r>
      <w:r>
        <w:rPr>
          <w:rFonts w:hint="eastAsia"/>
        </w:rPr>
        <w:t>27</w:t>
      </w:r>
      <w:r>
        <w:rPr>
          <w:rFonts w:hint="eastAsia"/>
        </w:rPr>
        <w:t>日，加拿大财政部公布了碳税立法草案文件。除了立法外，加拿大财政部还公布了碳税立法的监管框架，该框架适用于</w:t>
      </w:r>
      <w:r>
        <w:rPr>
          <w:rFonts w:hint="eastAsia"/>
        </w:rPr>
        <w:t>2019</w:t>
      </w:r>
      <w:r>
        <w:rPr>
          <w:rFonts w:hint="eastAsia"/>
        </w:rPr>
        <w:t>年之前未实施碳定价系统且符合联邦标准的所有加拿大省份或地区。联邦碳污染定价支持措施包括对化石燃料的产生的碳征税，以及应用于温室气体排放超过一定阈值的工业设施定价系统。如果一个省制定了不符合联邦门槛的碳征税标准，联邦政府允许并支持该省将省级系统“补足”到联邦一级。财务部门将于</w:t>
      </w:r>
      <w:r>
        <w:rPr>
          <w:rFonts w:hint="eastAsia"/>
        </w:rPr>
        <w:t>2018</w:t>
      </w:r>
      <w:r>
        <w:rPr>
          <w:rFonts w:hint="eastAsia"/>
        </w:rPr>
        <w:t>年</w:t>
      </w:r>
      <w:r>
        <w:rPr>
          <w:rFonts w:hint="eastAsia"/>
        </w:rPr>
        <w:t>2</w:t>
      </w:r>
      <w:r>
        <w:rPr>
          <w:rFonts w:hint="eastAsia"/>
        </w:rPr>
        <w:t>月</w:t>
      </w:r>
      <w:r>
        <w:rPr>
          <w:rFonts w:hint="eastAsia"/>
        </w:rPr>
        <w:t>12</w:t>
      </w:r>
      <w:r>
        <w:rPr>
          <w:rFonts w:hint="eastAsia"/>
        </w:rPr>
        <w:t>日之前接受有关立法草案的意见，以及于</w:t>
      </w:r>
      <w:r>
        <w:rPr>
          <w:rFonts w:hint="eastAsia"/>
        </w:rPr>
        <w:t>2018</w:t>
      </w:r>
      <w:r>
        <w:rPr>
          <w:rFonts w:hint="eastAsia"/>
        </w:rPr>
        <w:t>年</w:t>
      </w:r>
      <w:r>
        <w:rPr>
          <w:rFonts w:hint="eastAsia"/>
        </w:rPr>
        <w:t>4</w:t>
      </w:r>
      <w:r>
        <w:rPr>
          <w:rFonts w:hint="eastAsia"/>
        </w:rPr>
        <w:t>月</w:t>
      </w:r>
      <w:r>
        <w:rPr>
          <w:rFonts w:hint="eastAsia"/>
        </w:rPr>
        <w:t>9</w:t>
      </w:r>
      <w:r>
        <w:rPr>
          <w:rFonts w:hint="eastAsia"/>
        </w:rPr>
        <w:t>日之前接受有关监管框架的意见。</w:t>
      </w:r>
    </w:p>
    <w:p w14:paraId="5AF165DA" w14:textId="77777777" w:rsidR="00DD1E0B" w:rsidRDefault="00C924F2">
      <w:pPr>
        <w:ind w:firstLine="480"/>
      </w:pPr>
      <w:r>
        <w:rPr>
          <w:rFonts w:hint="eastAsia"/>
        </w:rPr>
        <w:t>目前，</w:t>
      </w:r>
      <w:r>
        <w:rPr>
          <w:rFonts w:hint="eastAsia"/>
        </w:rPr>
        <w:t>加拿大包括魁北克省、安大略省、阿尔伯塔省和不列颠哥伦比亚省在内的大多数省份都采用了自己的碳税征收标准，因此不会受到财政部提议的规则的影响。但是，包括萨斯喀彻温在内的一些省份尚未推出这样的计划。根据财政部的规定，加拿大各省和地区必须选择加入联邦制度或在</w:t>
      </w:r>
      <w:r>
        <w:rPr>
          <w:rFonts w:hint="eastAsia"/>
        </w:rPr>
        <w:t>2018</w:t>
      </w:r>
      <w:r>
        <w:rPr>
          <w:rFonts w:hint="eastAsia"/>
        </w:rPr>
        <w:t>年</w:t>
      </w:r>
      <w:r>
        <w:rPr>
          <w:rFonts w:hint="eastAsia"/>
        </w:rPr>
        <w:t>3</w:t>
      </w:r>
      <w:r>
        <w:rPr>
          <w:rFonts w:hint="eastAsia"/>
        </w:rPr>
        <w:t>月</w:t>
      </w:r>
      <w:r>
        <w:rPr>
          <w:rFonts w:hint="eastAsia"/>
        </w:rPr>
        <w:t>30</w:t>
      </w:r>
      <w:r>
        <w:rPr>
          <w:rFonts w:hint="eastAsia"/>
        </w:rPr>
        <w:t>日前实施自己的碳定价法。</w:t>
      </w:r>
    </w:p>
    <w:p w14:paraId="79DD4E9C" w14:textId="77777777" w:rsidR="00DD1E0B" w:rsidRDefault="00C924F2">
      <w:pPr>
        <w:ind w:firstLine="480"/>
      </w:pPr>
      <w:r>
        <w:rPr>
          <w:rFonts w:hint="eastAsia"/>
        </w:rPr>
        <w:t>立法草案的部分规定如下：</w:t>
      </w:r>
    </w:p>
    <w:p w14:paraId="3A1DA9FD" w14:textId="77777777" w:rsidR="00DD1E0B" w:rsidRDefault="00C924F2">
      <w:pPr>
        <w:pStyle w:val="afd"/>
        <w:numPr>
          <w:ilvl w:val="0"/>
          <w:numId w:val="1"/>
        </w:numPr>
        <w:ind w:left="426" w:firstLineChars="0"/>
      </w:pPr>
      <w:r>
        <w:rPr>
          <w:rFonts w:hint="eastAsia"/>
        </w:rPr>
        <w:t>对于生产商或分销商征收矿物燃料的碳税</w:t>
      </w:r>
    </w:p>
    <w:p w14:paraId="1F0F175E" w14:textId="77777777" w:rsidR="00DD1E0B" w:rsidRDefault="00C924F2">
      <w:pPr>
        <w:ind w:firstLine="480"/>
      </w:pPr>
      <w:r>
        <w:rPr>
          <w:rFonts w:hint="eastAsia"/>
        </w:rPr>
        <w:t>立法草案将</w:t>
      </w:r>
      <w:r>
        <w:rPr>
          <w:rFonts w:hint="eastAsia"/>
        </w:rPr>
        <w:t>2018</w:t>
      </w:r>
      <w:r>
        <w:rPr>
          <w:rFonts w:hint="eastAsia"/>
        </w:rPr>
        <w:t>年的化石燃料碳税征收标准定为每吨</w:t>
      </w:r>
      <w:r>
        <w:rPr>
          <w:rFonts w:hint="eastAsia"/>
        </w:rPr>
        <w:t>10</w:t>
      </w:r>
      <w:r>
        <w:rPr>
          <w:rFonts w:hint="eastAsia"/>
        </w:rPr>
        <w:t>美元，然后逐年增加</w:t>
      </w:r>
      <w:r>
        <w:rPr>
          <w:rFonts w:hint="eastAsia"/>
        </w:rPr>
        <w:t>10</w:t>
      </w:r>
      <w:r>
        <w:rPr>
          <w:rFonts w:hint="eastAsia"/>
        </w:rPr>
        <w:t>美元，直到</w:t>
      </w:r>
      <w:r>
        <w:rPr>
          <w:rFonts w:hint="eastAsia"/>
        </w:rPr>
        <w:t>2022</w:t>
      </w:r>
      <w:r>
        <w:rPr>
          <w:rFonts w:hint="eastAsia"/>
        </w:rPr>
        <w:t>年为每吨</w:t>
      </w:r>
      <w:r>
        <w:rPr>
          <w:rFonts w:hint="eastAsia"/>
        </w:rPr>
        <w:t>50</w:t>
      </w:r>
      <w:r>
        <w:rPr>
          <w:rFonts w:hint="eastAsia"/>
        </w:rPr>
        <w:t>美元。一般来说，燃料生产商和供应链分销商都必须支付该税，这将适用于指定辖区内使用的燃料（不管它们是在辖区内生产的还是被带入管辖区的）。</w:t>
      </w:r>
    </w:p>
    <w:p w14:paraId="21003D6D" w14:textId="77777777" w:rsidR="00DD1E0B" w:rsidRDefault="00C924F2">
      <w:pPr>
        <w:pStyle w:val="afd"/>
        <w:numPr>
          <w:ilvl w:val="0"/>
          <w:numId w:val="1"/>
        </w:numPr>
        <w:ind w:left="426" w:firstLineChars="0"/>
      </w:pPr>
      <w:r>
        <w:rPr>
          <w:rFonts w:hint="eastAsia"/>
        </w:rPr>
        <w:t>对于基于产出的工业设施的定价系统</w:t>
      </w:r>
    </w:p>
    <w:p w14:paraId="214154FE" w14:textId="77777777" w:rsidR="00DD1E0B" w:rsidRDefault="00C924F2">
      <w:pPr>
        <w:ind w:firstLine="480"/>
      </w:pPr>
      <w:r>
        <w:rPr>
          <w:rFonts w:hint="eastAsia"/>
        </w:rPr>
        <w:t>一般而言，每年排放</w:t>
      </w:r>
      <w:r>
        <w:rPr>
          <w:rFonts w:hint="eastAsia"/>
        </w:rPr>
        <w:t>50</w:t>
      </w:r>
      <w:r>
        <w:rPr>
          <w:rFonts w:hint="eastAsia"/>
        </w:rPr>
        <w:t>千吨或更多温室气体的设施将受制于联邦制度建议实施的基于产出的定价系统。这些设施将能够获得燃油税免征资格，并且将在</w:t>
      </w:r>
      <w:r>
        <w:rPr>
          <w:rFonts w:hint="eastAsia"/>
        </w:rPr>
        <w:lastRenderedPageBreak/>
        <w:t>2018</w:t>
      </w:r>
      <w:r>
        <w:rPr>
          <w:rFonts w:hint="eastAsia"/>
        </w:rPr>
        <w:t>年以每吨</w:t>
      </w:r>
      <w:r>
        <w:rPr>
          <w:rFonts w:hint="eastAsia"/>
        </w:rPr>
        <w:t>10</w:t>
      </w:r>
      <w:r>
        <w:rPr>
          <w:rFonts w:hint="eastAsia"/>
        </w:rPr>
        <w:t>美元的碳排放量支付碳排放价格，此后该价格也将逐年增加</w:t>
      </w:r>
      <w:r>
        <w:rPr>
          <w:rFonts w:hint="eastAsia"/>
        </w:rPr>
        <w:t>10</w:t>
      </w:r>
      <w:r>
        <w:rPr>
          <w:rFonts w:hint="eastAsia"/>
        </w:rPr>
        <w:t>美元，直到</w:t>
      </w:r>
      <w:r>
        <w:rPr>
          <w:rFonts w:hint="eastAsia"/>
        </w:rPr>
        <w:t>2022</w:t>
      </w:r>
      <w:r>
        <w:rPr>
          <w:rFonts w:hint="eastAsia"/>
        </w:rPr>
        <w:t>年达到每</w:t>
      </w:r>
      <w:r>
        <w:rPr>
          <w:rFonts w:hint="eastAsia"/>
        </w:rPr>
        <w:t>吨</w:t>
      </w:r>
      <w:r>
        <w:rPr>
          <w:rFonts w:hint="eastAsia"/>
        </w:rPr>
        <w:t>50</w:t>
      </w:r>
      <w:r>
        <w:rPr>
          <w:rFonts w:hint="eastAsia"/>
        </w:rPr>
        <w:t>美元。排放量低于规定阈值的较小设施将能够选择进入基于产出的系统，而不是支付化石燃料税。联邦政府打算在</w:t>
      </w:r>
      <w:r>
        <w:rPr>
          <w:rFonts w:hint="eastAsia"/>
        </w:rPr>
        <w:t>2022</w:t>
      </w:r>
      <w:r>
        <w:rPr>
          <w:rFonts w:hint="eastAsia"/>
        </w:rPr>
        <w:t>年再次审查该规则。</w:t>
      </w:r>
    </w:p>
    <w:p w14:paraId="6266584E" w14:textId="77777777" w:rsidR="00DD1E0B" w:rsidRDefault="00C924F2">
      <w:pPr>
        <w:pStyle w:val="3"/>
      </w:pPr>
      <w:r>
        <w:t xml:space="preserve">1.1.2 </w:t>
      </w:r>
      <w:r>
        <w:t>背景及评价</w:t>
      </w:r>
    </w:p>
    <w:p w14:paraId="0B56A5D8" w14:textId="77777777" w:rsidR="00DD1E0B" w:rsidRDefault="00C924F2">
      <w:pPr>
        <w:pStyle w:val="ae"/>
      </w:pPr>
      <w:r>
        <w:t xml:space="preserve">1.1.2.1 </w:t>
      </w:r>
      <w:r>
        <w:t>背景</w:t>
      </w:r>
      <w:r>
        <w:rPr>
          <w:rStyle w:val="af9"/>
          <w:rFonts w:eastAsiaTheme="minorEastAsia" w:cs="Times New Roman"/>
          <w:szCs w:val="24"/>
        </w:rPr>
        <w:footnoteReference w:id="2"/>
      </w:r>
    </w:p>
    <w:p w14:paraId="265BDF2A" w14:textId="77777777" w:rsidR="00DD1E0B" w:rsidRDefault="00C924F2">
      <w:pPr>
        <w:ind w:firstLine="480"/>
      </w:pPr>
      <w:r>
        <w:rPr>
          <w:rFonts w:hint="eastAsia"/>
        </w:rPr>
        <w:t>2016</w:t>
      </w:r>
      <w:r>
        <w:rPr>
          <w:rFonts w:hint="eastAsia"/>
        </w:rPr>
        <w:t>年，加拿大联邦政府发布了碳税的全国“基准价”，并标明财政部门将推出碳税定价支持系统，该系统将适用于</w:t>
      </w:r>
      <w:r>
        <w:rPr>
          <w:rFonts w:hint="eastAsia"/>
        </w:rPr>
        <w:t>2019</w:t>
      </w:r>
      <w:r>
        <w:rPr>
          <w:rFonts w:hint="eastAsia"/>
        </w:rPr>
        <w:t>年</w:t>
      </w:r>
      <w:r>
        <w:rPr>
          <w:rFonts w:hint="eastAsia"/>
        </w:rPr>
        <w:t>1</w:t>
      </w:r>
      <w:r>
        <w:rPr>
          <w:rFonts w:hint="eastAsia"/>
        </w:rPr>
        <w:t>月</w:t>
      </w:r>
      <w:r>
        <w:rPr>
          <w:rFonts w:hint="eastAsia"/>
        </w:rPr>
        <w:t>1</w:t>
      </w:r>
      <w:r>
        <w:rPr>
          <w:rFonts w:hint="eastAsia"/>
        </w:rPr>
        <w:t>日前所有未建立符合联邦碳税基准的定价系统的省份或地区。</w:t>
      </w:r>
    </w:p>
    <w:p w14:paraId="2D8D0EFF" w14:textId="77777777" w:rsidR="00DD1E0B" w:rsidRDefault="00C924F2">
      <w:pPr>
        <w:ind w:firstLine="480"/>
      </w:pPr>
      <w:r>
        <w:rPr>
          <w:rFonts w:hint="eastAsia"/>
        </w:rPr>
        <w:t>目前有</w:t>
      </w:r>
      <w:r>
        <w:rPr>
          <w:rFonts w:hint="eastAsia"/>
        </w:rPr>
        <w:t>85%</w:t>
      </w:r>
      <w:r>
        <w:rPr>
          <w:rFonts w:hint="eastAsia"/>
        </w:rPr>
        <w:t>的加拿大人居住在已经实施，或即将实施碳税相关计划的省份。以卑诗省为例，该省已经从</w:t>
      </w:r>
      <w:r>
        <w:rPr>
          <w:rFonts w:hint="eastAsia"/>
        </w:rPr>
        <w:t>2008</w:t>
      </w:r>
      <w:r>
        <w:rPr>
          <w:rFonts w:hint="eastAsia"/>
        </w:rPr>
        <w:t>年开始征收碳税，按每吨碳排放征税</w:t>
      </w:r>
      <w:r>
        <w:rPr>
          <w:rFonts w:hint="eastAsia"/>
        </w:rPr>
        <w:t>30</w:t>
      </w:r>
      <w:r>
        <w:rPr>
          <w:rFonts w:hint="eastAsia"/>
        </w:rPr>
        <w:t>美元计算，每升汽</w:t>
      </w:r>
      <w:r>
        <w:rPr>
          <w:rFonts w:hint="eastAsia"/>
        </w:rPr>
        <w:t>油的碳税为</w:t>
      </w:r>
      <w:r>
        <w:rPr>
          <w:rFonts w:hint="eastAsia"/>
        </w:rPr>
        <w:t>6.67</w:t>
      </w:r>
      <w:r>
        <w:rPr>
          <w:rFonts w:hint="eastAsia"/>
        </w:rPr>
        <w:t>美分，这使该省的汽油价格成为加拿大最贵的之一。在阿尔伯塔省，该省计划于</w:t>
      </w:r>
      <w:r>
        <w:rPr>
          <w:rFonts w:hint="eastAsia"/>
        </w:rPr>
        <w:t>2018</w:t>
      </w:r>
      <w:r>
        <w:rPr>
          <w:rFonts w:hint="eastAsia"/>
        </w:rPr>
        <w:t>年全面实施碳税，届时汽油价格也将上涨到同样的水平。按照联邦自由党政府的计划，</w:t>
      </w:r>
      <w:r>
        <w:rPr>
          <w:rFonts w:hint="eastAsia"/>
        </w:rPr>
        <w:t>2022</w:t>
      </w:r>
      <w:r>
        <w:rPr>
          <w:rFonts w:hint="eastAsia"/>
        </w:rPr>
        <w:t>年每吨碳排放征收</w:t>
      </w:r>
      <w:r>
        <w:rPr>
          <w:rFonts w:hint="eastAsia"/>
        </w:rPr>
        <w:t>50</w:t>
      </w:r>
      <w:r>
        <w:rPr>
          <w:rFonts w:hint="eastAsia"/>
        </w:rPr>
        <w:t>美元，那么汽油价格将上涨每升</w:t>
      </w:r>
      <w:r>
        <w:rPr>
          <w:rFonts w:hint="eastAsia"/>
        </w:rPr>
        <w:t>11</w:t>
      </w:r>
      <w:r>
        <w:rPr>
          <w:rFonts w:hint="eastAsia"/>
        </w:rPr>
        <w:t>美分。魁省实施“碳排放及交易计划”（</w:t>
      </w:r>
      <w:r>
        <w:rPr>
          <w:rFonts w:hint="eastAsia"/>
        </w:rPr>
        <w:t>cap-and-trade plan</w:t>
      </w:r>
      <w:r>
        <w:rPr>
          <w:rFonts w:hint="eastAsia"/>
        </w:rPr>
        <w:t>），这项计划是根据碳排放交易市场和碳信用额来控制排放，根据</w:t>
      </w:r>
      <w:r>
        <w:rPr>
          <w:rFonts w:hint="eastAsia"/>
        </w:rPr>
        <w:t>En-Pro</w:t>
      </w:r>
      <w:r>
        <w:rPr>
          <w:rFonts w:hint="eastAsia"/>
        </w:rPr>
        <w:t>分析师</w:t>
      </w:r>
      <w:r>
        <w:rPr>
          <w:rFonts w:hint="eastAsia"/>
        </w:rPr>
        <w:t>Roger McKnight</w:t>
      </w:r>
      <w:r>
        <w:rPr>
          <w:rFonts w:hint="eastAsia"/>
        </w:rPr>
        <w:t>在</w:t>
      </w:r>
      <w:r>
        <w:rPr>
          <w:rFonts w:hint="eastAsia"/>
        </w:rPr>
        <w:t>2016</w:t>
      </w:r>
      <w:r>
        <w:rPr>
          <w:rFonts w:hint="eastAsia"/>
        </w:rPr>
        <w:t>年</w:t>
      </w:r>
      <w:r>
        <w:rPr>
          <w:rFonts w:hint="eastAsia"/>
        </w:rPr>
        <w:t>3</w:t>
      </w:r>
      <w:r>
        <w:rPr>
          <w:rFonts w:hint="eastAsia"/>
        </w:rPr>
        <w:t>月一份报告分析，该计划下每升汽油的税碳估计为</w:t>
      </w:r>
      <w:r>
        <w:rPr>
          <w:rFonts w:hint="eastAsia"/>
        </w:rPr>
        <w:t>6</w:t>
      </w:r>
      <w:r>
        <w:rPr>
          <w:rFonts w:hint="eastAsia"/>
        </w:rPr>
        <w:t>美分。安省计划于</w:t>
      </w:r>
      <w:r>
        <w:rPr>
          <w:rFonts w:hint="eastAsia"/>
        </w:rPr>
        <w:t>2017</w:t>
      </w:r>
      <w:r>
        <w:rPr>
          <w:rFonts w:hint="eastAsia"/>
        </w:rPr>
        <w:t>年实施“碳排放及交易</w:t>
      </w:r>
      <w:r>
        <w:rPr>
          <w:rFonts w:hint="eastAsia"/>
        </w:rPr>
        <w:t>计划”，根据经济师的估算，到</w:t>
      </w:r>
      <w:r>
        <w:rPr>
          <w:rFonts w:hint="eastAsia"/>
        </w:rPr>
        <w:t>2020</w:t>
      </w:r>
      <w:r>
        <w:rPr>
          <w:rFonts w:hint="eastAsia"/>
        </w:rPr>
        <w:t>年，安省省民支付的碳税相当于每吨</w:t>
      </w:r>
      <w:r>
        <w:rPr>
          <w:rFonts w:hint="eastAsia"/>
        </w:rPr>
        <w:t>19.40</w:t>
      </w:r>
      <w:r>
        <w:rPr>
          <w:rFonts w:hint="eastAsia"/>
        </w:rPr>
        <w:t>美元</w:t>
      </w:r>
      <w:r>
        <w:rPr>
          <w:rStyle w:val="af9"/>
          <w:rFonts w:eastAsiaTheme="minorEastAsia" w:cs="Times New Roman"/>
          <w:szCs w:val="24"/>
        </w:rPr>
        <w:footnoteReference w:id="3"/>
      </w:r>
      <w:r>
        <w:rPr>
          <w:rFonts w:hint="eastAsia"/>
        </w:rPr>
        <w:t>。</w:t>
      </w:r>
    </w:p>
    <w:p w14:paraId="69C5EC21" w14:textId="77777777" w:rsidR="00DD1E0B" w:rsidRDefault="00C924F2">
      <w:pPr>
        <w:ind w:firstLine="480"/>
      </w:pPr>
      <w:r>
        <w:rPr>
          <w:rFonts w:hint="eastAsia"/>
        </w:rPr>
        <w:t>加拿大财政部还在</w:t>
      </w:r>
      <w:r>
        <w:rPr>
          <w:rFonts w:hint="eastAsia"/>
        </w:rPr>
        <w:t>2017</w:t>
      </w:r>
      <w:r>
        <w:rPr>
          <w:rFonts w:hint="eastAsia"/>
        </w:rPr>
        <w:t>年发布了一份碳定价方案的技术性文件以征求意见，以获得关于后续相关设计的反馈。将征收联邦碳税的化石燃料包括液体燃料（例如汽油，柴油燃料和航空燃料），气体燃料（例如天然气）和固体燃料（例如煤和焦炭）。该技术性文件表明，加拿大各省在</w:t>
      </w:r>
      <w:r>
        <w:rPr>
          <w:rFonts w:hint="eastAsia"/>
        </w:rPr>
        <w:t>2018</w:t>
      </w:r>
      <w:r>
        <w:rPr>
          <w:rFonts w:hint="eastAsia"/>
        </w:rPr>
        <w:t>年底前必须推出碳定价方案，否则联邦政府将实施自己的模式。加拿大环境部长凯瑟琳·麦肯娜（</w:t>
      </w:r>
      <w:r>
        <w:rPr>
          <w:rFonts w:hint="eastAsia"/>
        </w:rPr>
        <w:t>Catherine McKenna</w:t>
      </w:r>
      <w:r>
        <w:rPr>
          <w:rFonts w:hint="eastAsia"/>
        </w:rPr>
        <w:t>）公布了这份文件，给予各省碳定价三个选择方案：</w:t>
      </w:r>
      <w:r>
        <w:rPr>
          <w:rFonts w:hint="eastAsia"/>
        </w:rPr>
        <w:t>各省自己立法征收每吨至少</w:t>
      </w:r>
      <w:r>
        <w:rPr>
          <w:rFonts w:hint="eastAsia"/>
        </w:rPr>
        <w:t>10</w:t>
      </w:r>
      <w:r>
        <w:rPr>
          <w:rFonts w:hint="eastAsia"/>
        </w:rPr>
        <w:t>加元的碳排放税；各省自己立法制定总量管制和交易制度（</w:t>
      </w:r>
      <w:r>
        <w:rPr>
          <w:rFonts w:hint="eastAsia"/>
        </w:rPr>
        <w:t>cap-and-trade</w:t>
      </w:r>
      <w:r>
        <w:rPr>
          <w:rFonts w:hint="eastAsia"/>
        </w:rPr>
        <w:t>），并确保减少相当于实施碳排放税而减少的排放量；或者实施联邦政府制</w:t>
      </w:r>
      <w:r>
        <w:rPr>
          <w:rFonts w:hint="eastAsia"/>
        </w:rPr>
        <w:lastRenderedPageBreak/>
        <w:t>定的，主要基于阿尔伯塔省方案的混合模式。碳税或相当的总量管制和交易制度，将每年上涨</w:t>
      </w:r>
      <w:r>
        <w:rPr>
          <w:rFonts w:hint="eastAsia"/>
        </w:rPr>
        <w:t>10</w:t>
      </w:r>
      <w:r>
        <w:rPr>
          <w:rFonts w:hint="eastAsia"/>
        </w:rPr>
        <w:t>加元，直至</w:t>
      </w:r>
      <w:r>
        <w:rPr>
          <w:rFonts w:hint="eastAsia"/>
        </w:rPr>
        <w:t>2022</w:t>
      </w:r>
      <w:r>
        <w:rPr>
          <w:rFonts w:hint="eastAsia"/>
        </w:rPr>
        <w:t>年底将上涨至每吨</w:t>
      </w:r>
      <w:r>
        <w:rPr>
          <w:rFonts w:hint="eastAsia"/>
        </w:rPr>
        <w:t>50</w:t>
      </w:r>
      <w:r>
        <w:rPr>
          <w:rFonts w:hint="eastAsia"/>
        </w:rPr>
        <w:t>加元。麦肯娜部长将接受公众对本文的意见，并计划在</w:t>
      </w:r>
      <w:r>
        <w:rPr>
          <w:rFonts w:hint="eastAsia"/>
        </w:rPr>
        <w:t>2</w:t>
      </w:r>
      <w:r>
        <w:t>017</w:t>
      </w:r>
      <w:r>
        <w:rPr>
          <w:rFonts w:hint="eastAsia"/>
        </w:rPr>
        <w:t>秋季制定立法。该计划是“泛加拿大清洁增长和气候变化框架”的一部分。加拿大已同意到</w:t>
      </w:r>
      <w:r>
        <w:rPr>
          <w:rFonts w:hint="eastAsia"/>
        </w:rPr>
        <w:t>2030</w:t>
      </w:r>
      <w:r>
        <w:rPr>
          <w:rFonts w:hint="eastAsia"/>
        </w:rPr>
        <w:t>年将排放量在</w:t>
      </w:r>
      <w:r>
        <w:rPr>
          <w:rFonts w:hint="eastAsia"/>
        </w:rPr>
        <w:t>2005</w:t>
      </w:r>
      <w:r>
        <w:rPr>
          <w:rFonts w:hint="eastAsia"/>
        </w:rPr>
        <w:t>年水平的基础上减少</w:t>
      </w:r>
      <w:r>
        <w:rPr>
          <w:rFonts w:hint="eastAsia"/>
        </w:rPr>
        <w:t>30</w:t>
      </w:r>
      <w:r>
        <w:rPr>
          <w:rFonts w:hint="eastAsia"/>
        </w:rPr>
        <w:t>％。这意味着需要在</w:t>
      </w:r>
      <w:r>
        <w:rPr>
          <w:rFonts w:hint="eastAsia"/>
        </w:rPr>
        <w:t>13</w:t>
      </w:r>
      <w:r>
        <w:rPr>
          <w:rFonts w:hint="eastAsia"/>
        </w:rPr>
        <w:t>年内减少</w:t>
      </w:r>
      <w:r>
        <w:rPr>
          <w:rFonts w:hint="eastAsia"/>
        </w:rPr>
        <w:t>近</w:t>
      </w:r>
      <w:r>
        <w:rPr>
          <w:rFonts w:hint="eastAsia"/>
        </w:rPr>
        <w:t>2</w:t>
      </w:r>
      <w:r>
        <w:rPr>
          <w:rFonts w:hint="eastAsia"/>
        </w:rPr>
        <w:t>亿吨碳排放量，相当于加拿大所有汽车排放量的两倍。阿尔伯塔省的碳定价模式包括对大多数运输和取暖燃料的直接税、对大型工业排放企业的总量管制和交易制度。阿尔伯塔省通过退税支票将一部分资金直接返还给中低收入者，并将其余部分用于小企业减税、可再生能源生产和其他减缓气候变化的项目</w:t>
      </w:r>
      <w:r>
        <w:rPr>
          <w:rStyle w:val="af9"/>
          <w:rFonts w:eastAsiaTheme="minorEastAsia" w:cs="Times New Roman"/>
          <w:szCs w:val="24"/>
        </w:rPr>
        <w:footnoteReference w:id="4"/>
      </w:r>
      <w:r>
        <w:rPr>
          <w:rFonts w:hint="eastAsia"/>
        </w:rPr>
        <w:t>。</w:t>
      </w:r>
    </w:p>
    <w:p w14:paraId="56DA457E" w14:textId="77777777" w:rsidR="00DD1E0B" w:rsidRDefault="00C924F2">
      <w:pPr>
        <w:pStyle w:val="ae"/>
      </w:pPr>
      <w:r>
        <w:t xml:space="preserve">1.1.2.2 </w:t>
      </w:r>
      <w:r>
        <w:t>评价</w:t>
      </w:r>
    </w:p>
    <w:p w14:paraId="0EA8E27F" w14:textId="77777777" w:rsidR="00DD1E0B" w:rsidRDefault="00C924F2">
      <w:pPr>
        <w:ind w:firstLine="480"/>
      </w:pPr>
      <w:r>
        <w:rPr>
          <w:rFonts w:hint="eastAsia"/>
        </w:rPr>
        <w:t>此前，加拿大需要交碳税的省份是四个省，即艾伯特省、不列颠哥伦比亚省、安大略省与魁北克省，且各省之间的碳排放标准不一致，这导致四个省份对碳税规定的不满，认为规定不公平而没有一视同仁，有些省份在承担自己对环境的责任，</w:t>
      </w:r>
      <w:r>
        <w:rPr>
          <w:rFonts w:hint="eastAsia"/>
        </w:rPr>
        <w:t>而另外一些省份则在逃避自己应付的责任，因此各省与联邦政府之间一直在进行碳税标准的谈判，并希望能够推进全国性的碳税标准的产生。此次出台的立法草案和监管框架，正式提出容许联邦政府对不符合联邦标准的省份实施碳税，这有利于提高碳税立法的公平性，同时达到鼓励全国人们使用清洁能源，减少燃料的消耗的目的。那么对于普通消费者和企业而言，所有与碳有关的消费，诸如汽油，住宅取暖燃油以及不可再生性电能的价格都要上涨，而一些不直接相关的产品也要涨价，包括食品和其他零售商品，因为这些产品全部要靠柴油动力的货车来运输。因此，对于个人来</w:t>
      </w:r>
      <w:r>
        <w:rPr>
          <w:rFonts w:hint="eastAsia"/>
        </w:rPr>
        <w:t>说，需要减少能源消耗，因为只有减少使用，才能减少交税。而对于企业来说，更多的是需要加大技术创新，提高使用新能源的技术水平和降低能源消耗，这样才能避免需要承担过高的碳税税负。</w:t>
      </w:r>
    </w:p>
    <w:p w14:paraId="0005CEF3" w14:textId="77777777" w:rsidR="00DD1E0B" w:rsidRDefault="00C924F2">
      <w:pPr>
        <w:pStyle w:val="2"/>
      </w:pPr>
      <w:bookmarkStart w:id="6" w:name="_Toc508835192"/>
      <w:r>
        <w:t xml:space="preserve">1.2 </w:t>
      </w:r>
      <w:r>
        <w:rPr>
          <w:rFonts w:hint="eastAsia"/>
        </w:rPr>
        <w:t>加拿大</w:t>
      </w:r>
      <w:r>
        <w:rPr>
          <w:rFonts w:hint="eastAsia"/>
        </w:rPr>
        <w:t>2018</w:t>
      </w:r>
      <w:r>
        <w:rPr>
          <w:rFonts w:hint="eastAsia"/>
        </w:rPr>
        <w:t>年联邦预算法案定于</w:t>
      </w:r>
      <w:r>
        <w:rPr>
          <w:rFonts w:hint="eastAsia"/>
        </w:rPr>
        <w:t>2018</w:t>
      </w:r>
      <w:r>
        <w:rPr>
          <w:rFonts w:hint="eastAsia"/>
        </w:rPr>
        <w:t>年</w:t>
      </w:r>
      <w:r>
        <w:rPr>
          <w:rFonts w:hint="eastAsia"/>
        </w:rPr>
        <w:t>2</w:t>
      </w:r>
      <w:r>
        <w:rPr>
          <w:rFonts w:hint="eastAsia"/>
        </w:rPr>
        <w:t>月</w:t>
      </w:r>
      <w:r>
        <w:rPr>
          <w:rFonts w:hint="eastAsia"/>
        </w:rPr>
        <w:t>27</w:t>
      </w:r>
      <w:r>
        <w:rPr>
          <w:rFonts w:hint="eastAsia"/>
        </w:rPr>
        <w:t>日提交</w:t>
      </w:r>
      <w:r>
        <w:rPr>
          <w:rStyle w:val="af9"/>
          <w:rFonts w:eastAsiaTheme="minorEastAsia" w:cs="Times New Roman"/>
          <w:szCs w:val="24"/>
        </w:rPr>
        <w:footnoteReference w:id="5"/>
      </w:r>
      <w:bookmarkEnd w:id="6"/>
    </w:p>
    <w:p w14:paraId="43C65DE0" w14:textId="77777777" w:rsidR="00DD1E0B" w:rsidRDefault="00C924F2">
      <w:pPr>
        <w:pStyle w:val="3"/>
      </w:pPr>
      <w:r>
        <w:t xml:space="preserve">1.2.1 </w:t>
      </w:r>
      <w:r>
        <w:t>内容</w:t>
      </w:r>
      <w:r>
        <w:rPr>
          <w:rStyle w:val="af9"/>
          <w:rFonts w:eastAsiaTheme="minorEastAsia" w:cs="Times New Roman"/>
          <w:szCs w:val="24"/>
        </w:rPr>
        <w:footnoteReference w:id="6"/>
      </w:r>
    </w:p>
    <w:p w14:paraId="6C55A6FA" w14:textId="77777777" w:rsidR="00DD1E0B" w:rsidRDefault="00C924F2">
      <w:pPr>
        <w:ind w:firstLine="480"/>
      </w:pPr>
      <w:r>
        <w:rPr>
          <w:rFonts w:hint="eastAsia"/>
        </w:rPr>
        <w:t>2018</w:t>
      </w:r>
      <w:r>
        <w:rPr>
          <w:rFonts w:hint="eastAsia"/>
        </w:rPr>
        <w:t>年</w:t>
      </w:r>
      <w:r>
        <w:rPr>
          <w:rFonts w:hint="eastAsia"/>
        </w:rPr>
        <w:t>2</w:t>
      </w:r>
      <w:r>
        <w:rPr>
          <w:rFonts w:hint="eastAsia"/>
        </w:rPr>
        <w:t>月</w:t>
      </w:r>
      <w:r>
        <w:rPr>
          <w:rFonts w:hint="eastAsia"/>
        </w:rPr>
        <w:t>15</w:t>
      </w:r>
      <w:r>
        <w:rPr>
          <w:rFonts w:hint="eastAsia"/>
        </w:rPr>
        <w:t>日，加拿大联邦政府宣布其</w:t>
      </w:r>
      <w:r>
        <w:rPr>
          <w:rFonts w:hint="eastAsia"/>
        </w:rPr>
        <w:t>2018</w:t>
      </w:r>
      <w:r>
        <w:rPr>
          <w:rFonts w:hint="eastAsia"/>
        </w:rPr>
        <w:t>年联邦预算法案将于</w:t>
      </w:r>
      <w:r>
        <w:rPr>
          <w:rFonts w:hint="eastAsia"/>
        </w:rPr>
        <w:t>2</w:t>
      </w:r>
      <w:r>
        <w:rPr>
          <w:rFonts w:hint="eastAsia"/>
        </w:rPr>
        <w:t>月</w:t>
      </w:r>
      <w:r>
        <w:rPr>
          <w:rFonts w:hint="eastAsia"/>
        </w:rPr>
        <w:lastRenderedPageBreak/>
        <w:t>27</w:t>
      </w:r>
      <w:r>
        <w:rPr>
          <w:rFonts w:hint="eastAsia"/>
        </w:rPr>
        <w:t>日提交，该预算法案包括财政部长比尔莫诺的经济计划和相关税收规定。</w:t>
      </w:r>
    </w:p>
    <w:p w14:paraId="2CF3B058" w14:textId="77777777" w:rsidR="00DD1E0B" w:rsidRDefault="00C924F2">
      <w:pPr>
        <w:ind w:firstLine="480"/>
      </w:pPr>
      <w:r>
        <w:rPr>
          <w:rFonts w:hint="eastAsia"/>
        </w:rPr>
        <w:t>虽然目前加拿大政府在预算公布之前通常对预算内容持保密态度，但有迹象表明该预算会包括某些措施。鉴于近期美国税制改革的变化，今年预算的制定可能会考虑维持加拿大的竞争地位，还可能包括由下议院财政常务委员会编制并于</w:t>
      </w:r>
      <w:r>
        <w:rPr>
          <w:rFonts w:hint="eastAsia"/>
        </w:rPr>
        <w:t>2017</w:t>
      </w:r>
      <w:r>
        <w:rPr>
          <w:rFonts w:hint="eastAsia"/>
        </w:rPr>
        <w:t>年</w:t>
      </w:r>
      <w:r>
        <w:rPr>
          <w:rFonts w:hint="eastAsia"/>
        </w:rPr>
        <w:t>12</w:t>
      </w:r>
      <w:r>
        <w:rPr>
          <w:rFonts w:hint="eastAsia"/>
        </w:rPr>
        <w:t>月</w:t>
      </w:r>
      <w:r>
        <w:rPr>
          <w:rFonts w:hint="eastAsia"/>
        </w:rPr>
        <w:t>8</w:t>
      </w:r>
      <w:r>
        <w:rPr>
          <w:rFonts w:hint="eastAsia"/>
        </w:rPr>
        <w:t>日提交给议会的预算前报告中设想的措施。这份预算前报告以及财务部最近发表的其他评论可能会提供一些关于今年联邦预算存在的初步线索。</w:t>
      </w:r>
    </w:p>
    <w:p w14:paraId="1BC0EC9F" w14:textId="77777777" w:rsidR="00DD1E0B" w:rsidRDefault="00C924F2">
      <w:pPr>
        <w:ind w:firstLine="480"/>
      </w:pPr>
      <w:r>
        <w:rPr>
          <w:rFonts w:hint="eastAsia"/>
        </w:rPr>
        <w:t>今年的预算前报告再次侧重于创新，并包含了和研究与开发、税收抵免和资本成本补贴（</w:t>
      </w:r>
      <w:r>
        <w:rPr>
          <w:rFonts w:hint="eastAsia"/>
        </w:rPr>
        <w:t>CCA</w:t>
      </w:r>
      <w:r>
        <w:rPr>
          <w:rFonts w:hint="eastAsia"/>
        </w:rPr>
        <w:t>，</w:t>
      </w:r>
      <w:r>
        <w:t>Capital Cost Allowance</w:t>
      </w:r>
      <w:r>
        <w:rPr>
          <w:rFonts w:hint="eastAsia"/>
        </w:rPr>
        <w:t>）利率有关的建议。尽管政府放弃</w:t>
      </w:r>
      <w:r>
        <w:rPr>
          <w:rFonts w:hint="eastAsia"/>
        </w:rPr>
        <w:t>了</w:t>
      </w:r>
      <w:r>
        <w:rPr>
          <w:rFonts w:hint="eastAsia"/>
        </w:rPr>
        <w:t>201</w:t>
      </w:r>
      <w:r>
        <w:rPr>
          <w:rFonts w:hint="eastAsia"/>
        </w:rPr>
        <w:t>年提出的一些私人公司税改革，但财政部门表示，预算将包括其新被动收入规则的相关细节，以及收入分配税（</w:t>
      </w:r>
      <w:r>
        <w:rPr>
          <w:rFonts w:hint="eastAsia"/>
        </w:rPr>
        <w:t>TOSI</w:t>
      </w:r>
      <w:r>
        <w:rPr>
          <w:rFonts w:hint="eastAsia"/>
        </w:rPr>
        <w:t>，</w:t>
      </w:r>
      <w:r>
        <w:t>Tax On Split Income</w:t>
      </w:r>
      <w:r>
        <w:rPr>
          <w:rFonts w:hint="eastAsia"/>
        </w:rPr>
        <w:t>）规则的最终立法。在国际方面，财务部门可能会采取一些</w:t>
      </w:r>
      <w:r>
        <w:rPr>
          <w:rFonts w:hint="eastAsia"/>
        </w:rPr>
        <w:t>O</w:t>
      </w:r>
      <w:r>
        <w:t>ECD</w:t>
      </w:r>
      <w:r>
        <w:rPr>
          <w:rFonts w:hint="eastAsia"/>
        </w:rPr>
        <w:t>提出的关于税基侵蚀和利润转移（</w:t>
      </w:r>
      <w:r>
        <w:rPr>
          <w:rFonts w:hint="eastAsia"/>
        </w:rPr>
        <w:t>BEPS</w:t>
      </w:r>
      <w:r>
        <w:rPr>
          <w:rFonts w:hint="eastAsia"/>
        </w:rPr>
        <w:t>，</w:t>
      </w:r>
      <w:r>
        <w:t>Base Erosion and Profit Shifting</w:t>
      </w:r>
      <w:r>
        <w:rPr>
          <w:rFonts w:hint="eastAsia"/>
        </w:rPr>
        <w:t>）举措。</w:t>
      </w:r>
    </w:p>
    <w:p w14:paraId="534262A2" w14:textId="77777777" w:rsidR="00DD1E0B" w:rsidRDefault="00C924F2">
      <w:pPr>
        <w:ind w:firstLine="480"/>
      </w:pPr>
      <w:r>
        <w:rPr>
          <w:rFonts w:hint="eastAsia"/>
        </w:rPr>
        <w:t>目前尚不清楚加拿大是否打算采取新措施应对于</w:t>
      </w:r>
      <w:r>
        <w:rPr>
          <w:rFonts w:hint="eastAsia"/>
        </w:rPr>
        <w:t>2017</w:t>
      </w:r>
      <w:r>
        <w:rPr>
          <w:rFonts w:hint="eastAsia"/>
        </w:rPr>
        <w:t>年</w:t>
      </w:r>
      <w:r>
        <w:rPr>
          <w:rFonts w:hint="eastAsia"/>
        </w:rPr>
        <w:t>12</w:t>
      </w:r>
      <w:r>
        <w:rPr>
          <w:rFonts w:hint="eastAsia"/>
        </w:rPr>
        <w:t>月</w:t>
      </w:r>
      <w:r>
        <w:rPr>
          <w:rFonts w:hint="eastAsia"/>
        </w:rPr>
        <w:t>22</w:t>
      </w:r>
      <w:r>
        <w:rPr>
          <w:rFonts w:hint="eastAsia"/>
        </w:rPr>
        <w:t>日颁布的美国税制改革措施。美国的税制改革降低了企业和个人的税率，并放松了规则，包括允许企业立即注销某些资本资产的投资等税收</w:t>
      </w:r>
      <w:r>
        <w:rPr>
          <w:rFonts w:hint="eastAsia"/>
        </w:rPr>
        <w:t>变化。</w:t>
      </w:r>
      <w:r>
        <w:rPr>
          <w:rFonts w:hint="eastAsia"/>
        </w:rPr>
        <w:t>2017</w:t>
      </w:r>
      <w:r>
        <w:rPr>
          <w:rFonts w:hint="eastAsia"/>
        </w:rPr>
        <w:t>年</w:t>
      </w:r>
      <w:r>
        <w:rPr>
          <w:rFonts w:hint="eastAsia"/>
        </w:rPr>
        <w:t>11</w:t>
      </w:r>
      <w:r>
        <w:rPr>
          <w:rFonts w:hint="eastAsia"/>
        </w:rPr>
        <w:t>月，在</w:t>
      </w:r>
      <w:r>
        <w:rPr>
          <w:rFonts w:hint="eastAsia"/>
        </w:rPr>
        <w:t>2017</w:t>
      </w:r>
      <w:r>
        <w:rPr>
          <w:rFonts w:hint="eastAsia"/>
        </w:rPr>
        <w:t>年加拿大税务基金会（</w:t>
      </w:r>
      <w:r>
        <w:rPr>
          <w:rFonts w:hint="eastAsia"/>
        </w:rPr>
        <w:t>CTF</w:t>
      </w:r>
      <w:r>
        <w:rPr>
          <w:rFonts w:hint="eastAsia"/>
        </w:rPr>
        <w:t>，</w:t>
      </w:r>
      <w:r>
        <w:t>Canadian Tax Foundation</w:t>
      </w:r>
      <w:r>
        <w:rPr>
          <w:rFonts w:hint="eastAsia"/>
        </w:rPr>
        <w:t>）会议上，财政部门指出，一旦知晓美国谁改如何影响加拿大，它将立即决定是否对任何新的美国税收改革立法做出回应。然而，最近在瑞士达沃斯举行的世界经济论坛上，据加拿大总理特鲁多表示，加拿大不会通过削减税收收入来与美国竞争。</w:t>
      </w:r>
    </w:p>
    <w:p w14:paraId="34CEB6A5" w14:textId="77777777" w:rsidR="00DD1E0B" w:rsidRDefault="00C924F2">
      <w:pPr>
        <w:ind w:firstLine="480"/>
      </w:pPr>
      <w:r>
        <w:rPr>
          <w:rFonts w:hint="eastAsia"/>
        </w:rPr>
        <w:t>下面是综合各方信息，尤其是基于议院财政常务委员会提交的预算前报告而推测的可能的预算法案中的税收变更措施：</w:t>
      </w:r>
    </w:p>
    <w:p w14:paraId="7941B0F4" w14:textId="77777777" w:rsidR="00DD1E0B" w:rsidRDefault="00C924F2">
      <w:pPr>
        <w:pStyle w:val="ae"/>
      </w:pPr>
      <w:r>
        <w:t xml:space="preserve">1.2.1.1 </w:t>
      </w:r>
      <w:r>
        <w:rPr>
          <w:rFonts w:hint="eastAsia"/>
        </w:rPr>
        <w:t>私人公司税收变更</w:t>
      </w:r>
    </w:p>
    <w:p w14:paraId="682E78C0" w14:textId="77777777" w:rsidR="00DD1E0B" w:rsidRDefault="00C924F2">
      <w:pPr>
        <w:ind w:firstLine="480"/>
      </w:pPr>
      <w:r>
        <w:rPr>
          <w:rFonts w:hint="eastAsia"/>
        </w:rPr>
        <w:t>（</w:t>
      </w:r>
      <w:r>
        <w:rPr>
          <w:rFonts w:hint="eastAsia"/>
        </w:rPr>
        <w:t>1</w:t>
      </w:r>
      <w:r>
        <w:rPr>
          <w:rFonts w:hint="eastAsia"/>
        </w:rPr>
        <w:t>）被动收入</w:t>
      </w:r>
    </w:p>
    <w:p w14:paraId="59DB3E2E" w14:textId="77777777" w:rsidR="00DD1E0B" w:rsidRDefault="00C924F2">
      <w:pPr>
        <w:ind w:firstLine="480"/>
      </w:pPr>
      <w:r>
        <w:rPr>
          <w:rFonts w:hint="eastAsia"/>
        </w:rPr>
        <w:t>尽管加拿大政府取消了其提议的私</w:t>
      </w:r>
      <w:r>
        <w:rPr>
          <w:rFonts w:hint="eastAsia"/>
        </w:rPr>
        <w:t>人公司税法变更方案（该方案是为了有效限制获得终生资本利得豁免（</w:t>
      </w:r>
      <w:r>
        <w:rPr>
          <w:rFonts w:hint="eastAsia"/>
        </w:rPr>
        <w:t>LCGE</w:t>
      </w:r>
      <w:r>
        <w:rPr>
          <w:rFonts w:hint="eastAsia"/>
        </w:rPr>
        <w:t>，</w:t>
      </w:r>
      <w:r>
        <w:t>Lifetime Capital Gains Exemption</w:t>
      </w:r>
      <w:r>
        <w:rPr>
          <w:rFonts w:hint="eastAsia"/>
        </w:rPr>
        <w:t>），并防止纳税人将收入转换为资本收益），但是加拿大财政部门表示，它将继续修改收入分割（“收入洒水”，</w:t>
      </w:r>
      <w:r>
        <w:t>Income Sprinkling</w:t>
      </w:r>
      <w:r>
        <w:rPr>
          <w:rFonts w:hint="eastAsia"/>
        </w:rPr>
        <w:t>）和被动投资规则。</w:t>
      </w:r>
    </w:p>
    <w:p w14:paraId="4AED6225" w14:textId="77777777" w:rsidR="00DD1E0B" w:rsidRDefault="00C924F2">
      <w:pPr>
        <w:ind w:firstLine="480"/>
      </w:pPr>
      <w:r>
        <w:rPr>
          <w:rFonts w:hint="eastAsia"/>
        </w:rPr>
        <w:t>具体来说，财政部表示将在</w:t>
      </w:r>
      <w:r>
        <w:rPr>
          <w:rFonts w:hint="eastAsia"/>
        </w:rPr>
        <w:t>2018</w:t>
      </w:r>
      <w:r>
        <w:rPr>
          <w:rFonts w:hint="eastAsia"/>
        </w:rPr>
        <w:t>年联邦预算中发布与新的被动投资收入制度相关的立法草案。在之前的公告中，财政部规定了被动投资收入不得高于</w:t>
      </w:r>
      <w:r>
        <w:rPr>
          <w:rFonts w:hint="eastAsia"/>
        </w:rPr>
        <w:lastRenderedPageBreak/>
        <w:t>50,000</w:t>
      </w:r>
      <w:r>
        <w:rPr>
          <w:rFonts w:hint="eastAsia"/>
        </w:rPr>
        <w:t>美元的年度门槛。财政部指出，它将保持激励机制，鼓励风险投资和天使投资者投资创</w:t>
      </w:r>
      <w:r>
        <w:rPr>
          <w:rFonts w:hint="eastAsia"/>
        </w:rPr>
        <w:t>新公司。虽然财政部门表示，新的被动投资制度将适用于不断“前进”的基础上，但它并未表明新制度何时生效或新制度将如何构建。财政部表示将考虑新规如何影响资本收益，包括在某些情况下是否应该排除从事积极业务的公司的股票出售所实现的资本收益。</w:t>
      </w:r>
    </w:p>
    <w:p w14:paraId="0FDB13D0" w14:textId="77777777" w:rsidR="00DD1E0B" w:rsidRDefault="00C924F2">
      <w:pPr>
        <w:ind w:firstLine="480"/>
      </w:pPr>
      <w:r>
        <w:rPr>
          <w:rFonts w:hint="eastAsia"/>
        </w:rPr>
        <w:t>（</w:t>
      </w:r>
      <w:r>
        <w:rPr>
          <w:rFonts w:hint="eastAsia"/>
        </w:rPr>
        <w:t>2</w:t>
      </w:r>
      <w:r>
        <w:rPr>
          <w:rFonts w:hint="eastAsia"/>
        </w:rPr>
        <w:t>）收入分配税</w:t>
      </w:r>
    </w:p>
    <w:p w14:paraId="6293DB64" w14:textId="77777777" w:rsidR="00DD1E0B" w:rsidRDefault="00C924F2">
      <w:pPr>
        <w:ind w:firstLine="480"/>
      </w:pPr>
      <w:r>
        <w:rPr>
          <w:rFonts w:hint="eastAsia"/>
        </w:rPr>
        <w:t>作为其提议的私人公司税法变更的一部分，财政部在</w:t>
      </w:r>
      <w:r>
        <w:rPr>
          <w:rFonts w:hint="eastAsia"/>
        </w:rPr>
        <w:t>2017</w:t>
      </w:r>
      <w:r>
        <w:rPr>
          <w:rFonts w:hint="eastAsia"/>
        </w:rPr>
        <w:t>年</w:t>
      </w:r>
      <w:r>
        <w:rPr>
          <w:rFonts w:hint="eastAsia"/>
        </w:rPr>
        <w:t>12</w:t>
      </w:r>
      <w:r>
        <w:rPr>
          <w:rFonts w:hint="eastAsia"/>
        </w:rPr>
        <w:t>月发布了关于收入分配的立法草案。财政部称，这些称为收入分配税（</w:t>
      </w:r>
      <w:r>
        <w:rPr>
          <w:rFonts w:hint="eastAsia"/>
        </w:rPr>
        <w:t>TOSI</w:t>
      </w:r>
      <w:r>
        <w:rPr>
          <w:rFonts w:hint="eastAsia"/>
        </w:rPr>
        <w:t>，</w:t>
      </w:r>
      <w:r>
        <w:t>Tax On Split Income</w:t>
      </w:r>
      <w:r>
        <w:rPr>
          <w:rFonts w:hint="eastAsia"/>
        </w:rPr>
        <w:t>）规则的措施将作为</w:t>
      </w:r>
      <w:r>
        <w:rPr>
          <w:rFonts w:hint="eastAsia"/>
        </w:rPr>
        <w:t>2018</w:t>
      </w:r>
      <w:r>
        <w:rPr>
          <w:rFonts w:hint="eastAsia"/>
        </w:rPr>
        <w:t>年联邦预算的一部分进行立法。但是，当最终规则作为预算的一部分进行公</w:t>
      </w:r>
      <w:r>
        <w:rPr>
          <w:rFonts w:hint="eastAsia"/>
        </w:rPr>
        <w:t>布时，财政部是否会引入额外的变更条款尚不清楚。</w:t>
      </w:r>
    </w:p>
    <w:p w14:paraId="5D547A72" w14:textId="77777777" w:rsidR="00DD1E0B" w:rsidRDefault="00C924F2">
      <w:pPr>
        <w:ind w:firstLine="480"/>
      </w:pPr>
      <w:r>
        <w:rPr>
          <w:rFonts w:hint="eastAsia"/>
        </w:rPr>
        <w:t>财政部的草案简化了收入分配规则，以澄清确定家庭成员是否为企业做出贡献的过程，从而排除了以企业的最高边际税率征税的可能性。此外，财政部推出了“亮线”测试（</w:t>
      </w:r>
      <w:r>
        <w:t>“bright line" tests</w:t>
      </w:r>
      <w:r>
        <w:rPr>
          <w:rFonts w:hint="eastAsia"/>
        </w:rPr>
        <w:t>），将某些特定的个人排除在该规则之外，享受豁免规定。</w:t>
      </w:r>
    </w:p>
    <w:p w14:paraId="0CEA4F91" w14:textId="77777777" w:rsidR="00DD1E0B" w:rsidRDefault="00C924F2">
      <w:pPr>
        <w:ind w:firstLine="480"/>
      </w:pPr>
      <w:r>
        <w:rPr>
          <w:rFonts w:hint="eastAsia"/>
        </w:rPr>
        <w:t>（</w:t>
      </w:r>
      <w:r>
        <w:rPr>
          <w:rFonts w:hint="eastAsia"/>
        </w:rPr>
        <w:t>3</w:t>
      </w:r>
      <w:r>
        <w:rPr>
          <w:rFonts w:hint="eastAsia"/>
        </w:rPr>
        <w:t>）代际转移</w:t>
      </w:r>
    </w:p>
    <w:p w14:paraId="13FB3396" w14:textId="77777777" w:rsidR="00DD1E0B" w:rsidRDefault="00C924F2">
      <w:pPr>
        <w:ind w:firstLine="480"/>
      </w:pPr>
      <w:r>
        <w:rPr>
          <w:rFonts w:hint="eastAsia"/>
        </w:rPr>
        <w:t>加拿大财政部此前表示，它仍在考虑如何使包括农场在内的小企业的代际转移更有效率，更简单。此前，委员会在其</w:t>
      </w:r>
      <w:r>
        <w:rPr>
          <w:rFonts w:hint="eastAsia"/>
        </w:rPr>
        <w:t>2017</w:t>
      </w:r>
      <w:r>
        <w:rPr>
          <w:rFonts w:hint="eastAsia"/>
        </w:rPr>
        <w:t>年预算前报告中建议财务部门对代际转移进行详尽的审查。虽然财政部建议作为其私人公司税收变化的一部</w:t>
      </w:r>
      <w:r>
        <w:rPr>
          <w:rFonts w:hint="eastAsia"/>
        </w:rPr>
        <w:t>分修改</w:t>
      </w:r>
      <w:r>
        <w:rPr>
          <w:rFonts w:hint="eastAsia"/>
        </w:rPr>
        <w:t>2017</w:t>
      </w:r>
      <w:r>
        <w:rPr>
          <w:rFonts w:hint="eastAsia"/>
        </w:rPr>
        <w:t>年的代际转移规则，但它最终并未提出任何建议。</w:t>
      </w:r>
    </w:p>
    <w:p w14:paraId="26F6C707" w14:textId="77777777" w:rsidR="00DD1E0B" w:rsidRDefault="00C924F2">
      <w:pPr>
        <w:pStyle w:val="ae"/>
      </w:pPr>
      <w:r>
        <w:t>1.2.1.2</w:t>
      </w:r>
      <w:r>
        <w:rPr>
          <w:rFonts w:hint="eastAsia"/>
        </w:rPr>
        <w:t xml:space="preserve"> </w:t>
      </w:r>
      <w:r>
        <w:rPr>
          <w:rFonts w:hint="eastAsia"/>
        </w:rPr>
        <w:t>公司税收变更</w:t>
      </w:r>
    </w:p>
    <w:p w14:paraId="643E2099" w14:textId="77777777" w:rsidR="00DD1E0B" w:rsidRDefault="00C924F2">
      <w:pPr>
        <w:ind w:firstLine="480"/>
      </w:pPr>
      <w:r>
        <w:rPr>
          <w:rFonts w:hint="eastAsia"/>
        </w:rPr>
        <w:t>（</w:t>
      </w:r>
      <w:r>
        <w:rPr>
          <w:rFonts w:hint="eastAsia"/>
        </w:rPr>
        <w:t>1</w:t>
      </w:r>
      <w:r>
        <w:rPr>
          <w:rFonts w:hint="eastAsia"/>
        </w:rPr>
        <w:t>）创新和专利</w:t>
      </w:r>
    </w:p>
    <w:p w14:paraId="3E756B3E" w14:textId="77777777" w:rsidR="00DD1E0B" w:rsidRDefault="00C924F2">
      <w:pPr>
        <w:ind w:firstLine="480"/>
      </w:pPr>
      <w:r>
        <w:rPr>
          <w:rFonts w:hint="eastAsia"/>
        </w:rPr>
        <w:t>根据媒体的报道，</w:t>
      </w:r>
      <w:r>
        <w:rPr>
          <w:rFonts w:hint="eastAsia"/>
        </w:rPr>
        <w:t>2018</w:t>
      </w:r>
      <w:r>
        <w:rPr>
          <w:rFonts w:hint="eastAsia"/>
        </w:rPr>
        <w:t>年联邦预算预计将包括大量用于支持加拿大研发活动的基础科学研究资金。最近，一个独立研究小组关于研究当今大学研究的作用的报告（奈勒报告）呼吁政府其每年向理事会提供的资金逐年提高</w:t>
      </w:r>
      <w:r>
        <w:rPr>
          <w:rFonts w:hint="eastAsia"/>
        </w:rPr>
        <w:t>4.85</w:t>
      </w:r>
      <w:r>
        <w:rPr>
          <w:rFonts w:hint="eastAsia"/>
        </w:rPr>
        <w:t>亿美元。</w:t>
      </w:r>
    </w:p>
    <w:p w14:paraId="39A00550" w14:textId="77777777" w:rsidR="00DD1E0B" w:rsidRDefault="00C924F2">
      <w:pPr>
        <w:ind w:firstLine="480"/>
      </w:pPr>
      <w:r>
        <w:rPr>
          <w:rFonts w:hint="eastAsia"/>
        </w:rPr>
        <w:t>与去年的报告一样，委员会再次在预算前报告中建议，财政部首先制定专利计划，以补贴中小企业获得第一项专利的费用。委员会认为，这个方案应该与最近在魁北克启动的一个方案类似。魁北克在</w:t>
      </w:r>
      <w:r>
        <w:rPr>
          <w:rFonts w:hint="eastAsia"/>
        </w:rPr>
        <w:t>2016</w:t>
      </w:r>
      <w:r>
        <w:rPr>
          <w:rFonts w:hint="eastAsia"/>
        </w:rPr>
        <w:t>年省级预算中引入了专利箱立法（</w:t>
      </w:r>
      <w:r>
        <w:t>patent box legislation</w:t>
      </w:r>
      <w:r>
        <w:rPr>
          <w:rFonts w:hint="eastAsia"/>
        </w:rPr>
        <w:t>），以支持魁北克制造业的创新。该税收措施是加拿大的首个此类税收措施，对符合条件的创新制造公司提供扣除，在一个税收年度中</w:t>
      </w:r>
      <w:r>
        <w:rPr>
          <w:rFonts w:hint="eastAsia"/>
        </w:rPr>
        <w:lastRenderedPageBreak/>
        <w:t>等于合格专利特征的一部分价值，被整合到它出售或租用一年的合格财产中。该立法旨在鼓励公司在魁北克进行开发的研发工作成果，从而授予专利权。</w:t>
      </w:r>
    </w:p>
    <w:p w14:paraId="4AF89518" w14:textId="77777777" w:rsidR="00DD1E0B" w:rsidRDefault="00C924F2">
      <w:pPr>
        <w:ind w:firstLine="480"/>
      </w:pPr>
      <w:r>
        <w:rPr>
          <w:rFonts w:hint="eastAsia"/>
        </w:rPr>
        <w:t>（</w:t>
      </w:r>
      <w:r>
        <w:rPr>
          <w:rFonts w:hint="eastAsia"/>
        </w:rPr>
        <w:t>2</w:t>
      </w:r>
      <w:r>
        <w:rPr>
          <w:rFonts w:hint="eastAsia"/>
        </w:rPr>
        <w:t>）税收折旧年限规定</w:t>
      </w:r>
    </w:p>
    <w:p w14:paraId="3D7C9B0D" w14:textId="77777777" w:rsidR="00DD1E0B" w:rsidRDefault="00C924F2">
      <w:pPr>
        <w:ind w:firstLine="480"/>
      </w:pPr>
      <w:r>
        <w:rPr>
          <w:rFonts w:hint="eastAsia"/>
        </w:rPr>
        <w:t>该委员会的预算前报告建议财政部考虑永久延长制造和加工部门加速折旧年限至</w:t>
      </w:r>
      <w:r>
        <w:rPr>
          <w:rFonts w:hint="eastAsia"/>
        </w:rPr>
        <w:t>10</w:t>
      </w:r>
      <w:r>
        <w:rPr>
          <w:rFonts w:hint="eastAsia"/>
        </w:rPr>
        <w:t>年。委员会表示，财政应扩大合格资本资产的覆盖范围。此外，委员会还建议，财政在</w:t>
      </w:r>
      <w:r>
        <w:rPr>
          <w:rFonts w:hint="eastAsia"/>
        </w:rPr>
        <w:t>2018</w:t>
      </w:r>
      <w:r>
        <w:rPr>
          <w:rFonts w:hint="eastAsia"/>
        </w:rPr>
        <w:t>年联邦预算中引入（</w:t>
      </w:r>
      <w:r>
        <w:rPr>
          <w:rFonts w:hint="eastAsia"/>
        </w:rPr>
        <w:t>CCA</w:t>
      </w:r>
      <w:r>
        <w:rPr>
          <w:rFonts w:hint="eastAsia"/>
        </w:rPr>
        <w:t>，</w:t>
      </w:r>
      <w:r>
        <w:t>Capital Cost Allowance</w:t>
      </w:r>
      <w:r>
        <w:rPr>
          <w:rFonts w:hint="eastAsia"/>
        </w:rPr>
        <w:t>）加速费率，用于石油和天然气技术的投资，以提高加拿大石油和天然气行业的环境绩效和效率。</w:t>
      </w:r>
    </w:p>
    <w:p w14:paraId="705519B0" w14:textId="77777777" w:rsidR="00DD1E0B" w:rsidRDefault="00C924F2">
      <w:pPr>
        <w:ind w:firstLine="480"/>
      </w:pPr>
      <w:r>
        <w:rPr>
          <w:rFonts w:hint="eastAsia"/>
        </w:rPr>
        <w:t>（</w:t>
      </w:r>
      <w:r>
        <w:rPr>
          <w:rFonts w:hint="eastAsia"/>
        </w:rPr>
        <w:t>3</w:t>
      </w:r>
      <w:r>
        <w:rPr>
          <w:rFonts w:hint="eastAsia"/>
        </w:rPr>
        <w:t>）税收支出</w:t>
      </w:r>
    </w:p>
    <w:p w14:paraId="0BC75839" w14:textId="77777777" w:rsidR="00DD1E0B" w:rsidRDefault="00C924F2">
      <w:pPr>
        <w:ind w:firstLine="480"/>
      </w:pPr>
      <w:r>
        <w:rPr>
          <w:rFonts w:hint="eastAsia"/>
        </w:rPr>
        <w:t>在起草</w:t>
      </w:r>
      <w:r>
        <w:rPr>
          <w:rFonts w:hint="eastAsia"/>
        </w:rPr>
        <w:t>2018</w:t>
      </w:r>
      <w:r>
        <w:rPr>
          <w:rFonts w:hint="eastAsia"/>
        </w:rPr>
        <w:t>年联邦预算法案时，财政部可能会考虑到</w:t>
      </w:r>
      <w:r>
        <w:rPr>
          <w:rFonts w:hint="eastAsia"/>
        </w:rPr>
        <w:t>2017</w:t>
      </w:r>
      <w:r>
        <w:rPr>
          <w:rFonts w:hint="eastAsia"/>
        </w:rPr>
        <w:t>年最新的基于税收的支出审查结果。尽管政府并未公开公布个人和公司税收支出审查结果，但财政部在</w:t>
      </w:r>
      <w:r>
        <w:rPr>
          <w:rFonts w:hint="eastAsia"/>
        </w:rPr>
        <w:t>2017</w:t>
      </w:r>
      <w:r>
        <w:rPr>
          <w:rFonts w:hint="eastAsia"/>
        </w:rPr>
        <w:t>年</w:t>
      </w:r>
      <w:r>
        <w:rPr>
          <w:rFonts w:hint="eastAsia"/>
        </w:rPr>
        <w:t>联邦预算中做出了一些调整，以消除某些个人税收抵免和扣除项目，如公共交通税抵免和房屋拆迁贷款扣除。尽管是最昂贵的税收支出之一，但养老金计划和注册退休储蓄计划</w:t>
      </w:r>
      <w:r>
        <w:rPr>
          <w:rFonts w:hint="eastAsia"/>
        </w:rPr>
        <w:t>(RRSP</w:t>
      </w:r>
      <w:r>
        <w:rPr>
          <w:rFonts w:hint="eastAsia"/>
        </w:rPr>
        <w:t>，</w:t>
      </w:r>
      <w:r>
        <w:rPr>
          <w:rFonts w:hint="eastAsia"/>
        </w:rPr>
        <w:t>Registered Retirement Savings Plan)</w:t>
      </w:r>
      <w:r>
        <w:rPr>
          <w:rFonts w:hint="eastAsia"/>
        </w:rPr>
        <w:t>可能不太可能成为目标。不过，其他减免可能会在今年引起特别关注。如报告所确定的，影响个人纳税人的其他一些高成本税收支出，范围包括从</w:t>
      </w:r>
      <w:r>
        <w:rPr>
          <w:rFonts w:hint="eastAsia"/>
        </w:rPr>
        <w:t>50</w:t>
      </w:r>
      <w:r>
        <w:rPr>
          <w:rFonts w:hint="eastAsia"/>
        </w:rPr>
        <w:t>％的资本收益减免税率（</w:t>
      </w:r>
      <w:r>
        <w:t>capital gains inclusion rate</w:t>
      </w:r>
      <w:r>
        <w:rPr>
          <w:rFonts w:hint="eastAsia"/>
        </w:rPr>
        <w:t>）到加拿大就业税收抵免。</w:t>
      </w:r>
    </w:p>
    <w:p w14:paraId="799029BE" w14:textId="77777777" w:rsidR="00DD1E0B" w:rsidRDefault="00C924F2">
      <w:pPr>
        <w:ind w:firstLine="480"/>
      </w:pPr>
      <w:r>
        <w:rPr>
          <w:rFonts w:hint="eastAsia"/>
        </w:rPr>
        <w:t>在企业中，财务部门还可以审查某些昂贵的支</w:t>
      </w:r>
      <w:r>
        <w:rPr>
          <w:rFonts w:hint="eastAsia"/>
        </w:rPr>
        <w:t>出，例如：</w:t>
      </w:r>
    </w:p>
    <w:p w14:paraId="2A9E5037" w14:textId="77777777" w:rsidR="00DD1E0B" w:rsidRDefault="00C924F2">
      <w:pPr>
        <w:pStyle w:val="afd"/>
        <w:numPr>
          <w:ilvl w:val="0"/>
          <w:numId w:val="2"/>
        </w:numPr>
        <w:ind w:left="426" w:firstLineChars="0"/>
      </w:pPr>
      <w:r>
        <w:rPr>
          <w:rFonts w:hint="eastAsia"/>
        </w:rPr>
        <w:t>非资本亏损结转；</w:t>
      </w:r>
    </w:p>
    <w:p w14:paraId="167820EE" w14:textId="77777777" w:rsidR="00DD1E0B" w:rsidRDefault="00C924F2">
      <w:pPr>
        <w:pStyle w:val="afd"/>
        <w:numPr>
          <w:ilvl w:val="0"/>
          <w:numId w:val="2"/>
        </w:numPr>
        <w:ind w:left="426" w:firstLineChars="0"/>
      </w:pPr>
      <w:r>
        <w:rPr>
          <w:rFonts w:hint="eastAsia"/>
        </w:rPr>
        <w:t>资本收益减免（</w:t>
      </w:r>
      <w:r>
        <w:t>Partial inclusion of capital gains</w:t>
      </w:r>
      <w:r>
        <w:rPr>
          <w:rFonts w:hint="eastAsia"/>
        </w:rPr>
        <w:t>）；</w:t>
      </w:r>
    </w:p>
    <w:p w14:paraId="199400DD" w14:textId="77777777" w:rsidR="00DD1E0B" w:rsidRDefault="00C924F2">
      <w:pPr>
        <w:pStyle w:val="afd"/>
        <w:numPr>
          <w:ilvl w:val="0"/>
          <w:numId w:val="2"/>
        </w:numPr>
        <w:ind w:left="426" w:firstLineChars="0"/>
      </w:pPr>
      <w:r>
        <w:rPr>
          <w:rFonts w:hint="eastAsia"/>
        </w:rPr>
        <w:t>不可退还的科学研究及试验开发税收优惠（</w:t>
      </w:r>
      <w:r>
        <w:rPr>
          <w:rFonts w:hint="eastAsia"/>
        </w:rPr>
        <w:t>SR</w:t>
      </w:r>
      <w:r>
        <w:rPr>
          <w:rFonts w:hint="eastAsia"/>
        </w:rPr>
        <w:t>＆</w:t>
      </w:r>
      <w:r>
        <w:rPr>
          <w:rFonts w:hint="eastAsia"/>
        </w:rPr>
        <w:t>ED</w:t>
      </w:r>
      <w:r>
        <w:rPr>
          <w:rFonts w:hint="eastAsia"/>
        </w:rPr>
        <w:t>，</w:t>
      </w:r>
      <w:r>
        <w:rPr>
          <w:rFonts w:hint="eastAsia"/>
        </w:rPr>
        <w:t>Scientific Research and Experimental Development</w:t>
      </w:r>
      <w:r>
        <w:rPr>
          <w:rFonts w:hint="eastAsia"/>
        </w:rPr>
        <w:t>）税收抵免；</w:t>
      </w:r>
    </w:p>
    <w:p w14:paraId="5DF1CCD0" w14:textId="77777777" w:rsidR="00DD1E0B" w:rsidRDefault="00C924F2">
      <w:pPr>
        <w:pStyle w:val="afd"/>
        <w:numPr>
          <w:ilvl w:val="0"/>
          <w:numId w:val="2"/>
        </w:numPr>
        <w:ind w:left="426" w:firstLineChars="0"/>
      </w:pPr>
      <w:r>
        <w:rPr>
          <w:rFonts w:hint="eastAsia"/>
        </w:rPr>
        <w:t>加拿大人控股的私营公司</w:t>
      </w:r>
      <w:r>
        <w:rPr>
          <w:rFonts w:hint="eastAsia"/>
        </w:rPr>
        <w:t xml:space="preserve">(CCPCs </w:t>
      </w:r>
      <w:r>
        <w:rPr>
          <w:rFonts w:hint="eastAsia"/>
        </w:rPr>
        <w:t>，</w:t>
      </w:r>
      <w:r>
        <w:rPr>
          <w:rFonts w:hint="eastAsia"/>
        </w:rPr>
        <w:t>Canadian-controlled private corporations)</w:t>
      </w:r>
      <w:r>
        <w:rPr>
          <w:rFonts w:hint="eastAsia"/>
        </w:rPr>
        <w:t>可退还的</w:t>
      </w:r>
      <w:r>
        <w:rPr>
          <w:rFonts w:hint="eastAsia"/>
        </w:rPr>
        <w:t>SR</w:t>
      </w:r>
      <w:r>
        <w:rPr>
          <w:rFonts w:hint="eastAsia"/>
        </w:rPr>
        <w:t>＆</w:t>
      </w:r>
      <w:r>
        <w:rPr>
          <w:rFonts w:hint="eastAsia"/>
        </w:rPr>
        <w:t>ED</w:t>
      </w:r>
      <w:r>
        <w:rPr>
          <w:rFonts w:hint="eastAsia"/>
        </w:rPr>
        <w:t>税收抵免。</w:t>
      </w:r>
    </w:p>
    <w:p w14:paraId="204B400D" w14:textId="77777777" w:rsidR="00DD1E0B" w:rsidRDefault="00C924F2">
      <w:pPr>
        <w:pStyle w:val="ae"/>
      </w:pPr>
      <w:r>
        <w:t>1.2.1.3</w:t>
      </w:r>
      <w:r>
        <w:rPr>
          <w:rFonts w:hint="eastAsia"/>
        </w:rPr>
        <w:t xml:space="preserve"> </w:t>
      </w:r>
      <w:r>
        <w:rPr>
          <w:rFonts w:hint="eastAsia"/>
        </w:rPr>
        <w:t>国际税收变更</w:t>
      </w:r>
    </w:p>
    <w:p w14:paraId="01E4E933" w14:textId="77777777" w:rsidR="00DD1E0B" w:rsidRDefault="00C924F2">
      <w:pPr>
        <w:ind w:firstLine="480"/>
      </w:pPr>
      <w:r>
        <w:rPr>
          <w:rFonts w:hint="eastAsia"/>
        </w:rPr>
        <w:t>（</w:t>
      </w:r>
      <w:r>
        <w:rPr>
          <w:rFonts w:hint="eastAsia"/>
        </w:rPr>
        <w:t>1</w:t>
      </w:r>
      <w:r>
        <w:rPr>
          <w:rFonts w:hint="eastAsia"/>
        </w:rPr>
        <w:t>）税基侵蚀与利润转移</w:t>
      </w:r>
    </w:p>
    <w:p w14:paraId="45D2FF07" w14:textId="77777777" w:rsidR="00DD1E0B" w:rsidRDefault="00C924F2">
      <w:pPr>
        <w:ind w:firstLine="480"/>
      </w:pPr>
      <w:r>
        <w:rPr>
          <w:rFonts w:hint="eastAsia"/>
        </w:rPr>
        <w:t>2018</w:t>
      </w:r>
      <w:r>
        <w:rPr>
          <w:rFonts w:hint="eastAsia"/>
        </w:rPr>
        <w:t>年联邦预算可能会进一</w:t>
      </w:r>
      <w:r>
        <w:rPr>
          <w:rFonts w:hint="eastAsia"/>
        </w:rPr>
        <w:t>步解决</w:t>
      </w:r>
      <w:r>
        <w:rPr>
          <w:rFonts w:hint="eastAsia"/>
        </w:rPr>
        <w:t>O</w:t>
      </w:r>
      <w:r>
        <w:t>ECD</w:t>
      </w:r>
      <w:r>
        <w:rPr>
          <w:rFonts w:hint="eastAsia"/>
        </w:rPr>
        <w:t>提出的与</w:t>
      </w:r>
      <w:r>
        <w:rPr>
          <w:rFonts w:hint="eastAsia"/>
        </w:rPr>
        <w:t>BEPS</w:t>
      </w:r>
      <w:r>
        <w:rPr>
          <w:rFonts w:hint="eastAsia"/>
        </w:rPr>
        <w:t>项目有关的问题。</w:t>
      </w:r>
      <w:r>
        <w:rPr>
          <w:rFonts w:hint="eastAsia"/>
        </w:rPr>
        <w:t xml:space="preserve"> </w:t>
      </w:r>
      <w:r>
        <w:rPr>
          <w:rFonts w:hint="eastAsia"/>
        </w:rPr>
        <w:t>去年，在</w:t>
      </w:r>
      <w:r>
        <w:rPr>
          <w:rFonts w:hint="eastAsia"/>
        </w:rPr>
        <w:t>2017</w:t>
      </w:r>
      <w:r>
        <w:rPr>
          <w:rFonts w:hint="eastAsia"/>
        </w:rPr>
        <w:t>年</w:t>
      </w:r>
      <w:r>
        <w:rPr>
          <w:rFonts w:hint="eastAsia"/>
        </w:rPr>
        <w:t>CTF</w:t>
      </w:r>
      <w:r>
        <w:rPr>
          <w:rFonts w:hint="eastAsia"/>
        </w:rPr>
        <w:t>大会上，加拿大财政部表示将继续开展</w:t>
      </w:r>
      <w:r>
        <w:rPr>
          <w:rFonts w:hint="eastAsia"/>
        </w:rPr>
        <w:t>BEPS</w:t>
      </w:r>
      <w:r>
        <w:rPr>
          <w:rFonts w:hint="eastAsia"/>
        </w:rPr>
        <w:t>工作，特别关注数字经济的税收挑战、转让定价问题，利润归属以及监测问题和最低标准遵</w:t>
      </w:r>
      <w:r>
        <w:rPr>
          <w:rFonts w:hint="eastAsia"/>
        </w:rPr>
        <w:lastRenderedPageBreak/>
        <w:t>守问题。财政部还表示正在审查其是否会采纳其于</w:t>
      </w:r>
      <w:r>
        <w:rPr>
          <w:rFonts w:hint="eastAsia"/>
        </w:rPr>
        <w:t>2017</w:t>
      </w:r>
      <w:r>
        <w:rPr>
          <w:rFonts w:hint="eastAsia"/>
        </w:rPr>
        <w:t>年</w:t>
      </w:r>
      <w:r>
        <w:rPr>
          <w:rFonts w:hint="eastAsia"/>
        </w:rPr>
        <w:t>6</w:t>
      </w:r>
      <w:r>
        <w:rPr>
          <w:rFonts w:hint="eastAsia"/>
        </w:rPr>
        <w:t>月签署的多边文书（</w:t>
      </w:r>
      <w:r>
        <w:rPr>
          <w:rFonts w:hint="eastAsia"/>
        </w:rPr>
        <w:t>MLI</w:t>
      </w:r>
      <w:r>
        <w:rPr>
          <w:rFonts w:hint="eastAsia"/>
        </w:rPr>
        <w:t>，</w:t>
      </w:r>
      <w:r>
        <w:t>Multilateral Instrument</w:t>
      </w:r>
      <w:r>
        <w:rPr>
          <w:rFonts w:hint="eastAsia"/>
        </w:rPr>
        <w:t>）的其他附加条款。</w:t>
      </w:r>
    </w:p>
    <w:p w14:paraId="4A8E7D8C" w14:textId="77777777" w:rsidR="00DD1E0B" w:rsidRDefault="00C924F2">
      <w:pPr>
        <w:ind w:firstLine="480"/>
      </w:pPr>
      <w:r>
        <w:rPr>
          <w:rFonts w:hint="eastAsia"/>
        </w:rPr>
        <w:t>（</w:t>
      </w:r>
      <w:r>
        <w:rPr>
          <w:rFonts w:hint="eastAsia"/>
        </w:rPr>
        <w:t>2</w:t>
      </w:r>
      <w:r>
        <w:rPr>
          <w:rFonts w:hint="eastAsia"/>
        </w:rPr>
        <w:t>）贸易协定</w:t>
      </w:r>
    </w:p>
    <w:p w14:paraId="577331B5" w14:textId="77777777" w:rsidR="00DD1E0B" w:rsidRDefault="00C924F2">
      <w:pPr>
        <w:ind w:firstLine="480"/>
      </w:pPr>
      <w:r>
        <w:rPr>
          <w:rFonts w:hint="eastAsia"/>
        </w:rPr>
        <w:t>该委员会的预算前报告建议政府推行双边、区域和多边贸易协定，处理非关税贸易壁垒，确保加拿大农产品进入新市场，并确定以科学为基础的监管标准。委员会还建议政府根据最近缔结的加拿大自由贸易协定，继续减少各省和地区之间的内部贸易壁垒。</w:t>
      </w:r>
    </w:p>
    <w:p w14:paraId="7946E263" w14:textId="77777777" w:rsidR="00DD1E0B" w:rsidRDefault="00C924F2">
      <w:pPr>
        <w:pStyle w:val="ae"/>
      </w:pPr>
      <w:r>
        <w:t>1.2.1.4</w:t>
      </w:r>
      <w:r>
        <w:rPr>
          <w:rFonts w:hint="eastAsia"/>
        </w:rPr>
        <w:t xml:space="preserve"> </w:t>
      </w:r>
      <w:r>
        <w:rPr>
          <w:rFonts w:hint="eastAsia"/>
        </w:rPr>
        <w:t>其他税收变更</w:t>
      </w:r>
    </w:p>
    <w:p w14:paraId="2F67F6E9" w14:textId="77777777" w:rsidR="00DD1E0B" w:rsidRDefault="00C924F2">
      <w:pPr>
        <w:ind w:firstLine="480"/>
      </w:pPr>
      <w:r>
        <w:rPr>
          <w:rFonts w:hint="eastAsia"/>
        </w:rPr>
        <w:t>加拿大财政部表示正在探索提高信任报告要求的方案。在</w:t>
      </w:r>
      <w:r>
        <w:rPr>
          <w:rFonts w:hint="eastAsia"/>
        </w:rPr>
        <w:t>2017</w:t>
      </w:r>
      <w:r>
        <w:rPr>
          <w:rFonts w:hint="eastAsia"/>
        </w:rPr>
        <w:t>年加拿大税务基金会年度会议上，财政部表示希望提供</w:t>
      </w:r>
      <w:r>
        <w:rPr>
          <w:rFonts w:hint="eastAsia"/>
        </w:rPr>
        <w:t>2018</w:t>
      </w:r>
      <w:r>
        <w:rPr>
          <w:rFonts w:hint="eastAsia"/>
        </w:rPr>
        <w:t>年联邦预算的最新情况。委员会的预算前报告还建议采取其他的企业和个人税收措施，其中包括：</w:t>
      </w:r>
    </w:p>
    <w:p w14:paraId="427827BB" w14:textId="77777777" w:rsidR="00DD1E0B" w:rsidRDefault="00C924F2">
      <w:pPr>
        <w:pStyle w:val="afd"/>
        <w:numPr>
          <w:ilvl w:val="0"/>
          <w:numId w:val="3"/>
        </w:numPr>
        <w:ind w:left="426" w:firstLineChars="0"/>
      </w:pPr>
      <w:r>
        <w:rPr>
          <w:rFonts w:hint="eastAsia"/>
        </w:rPr>
        <w:t>创建投资者税收抵免，以鼓励对加拿大中小企业的投资；</w:t>
      </w:r>
    </w:p>
    <w:p w14:paraId="1698F7AB" w14:textId="77777777" w:rsidR="00DD1E0B" w:rsidRDefault="00C924F2">
      <w:pPr>
        <w:pStyle w:val="afd"/>
        <w:numPr>
          <w:ilvl w:val="0"/>
          <w:numId w:val="3"/>
        </w:numPr>
        <w:ind w:left="426" w:firstLineChars="0"/>
      </w:pPr>
      <w:r>
        <w:rPr>
          <w:rFonts w:hint="eastAsia"/>
        </w:rPr>
        <w:t>更</w:t>
      </w:r>
      <w:r>
        <w:rPr>
          <w:rFonts w:hint="eastAsia"/>
        </w:rPr>
        <w:t>新矿产勘探税收抵免年限为三年；</w:t>
      </w:r>
    </w:p>
    <w:p w14:paraId="05622095" w14:textId="77777777" w:rsidR="00DD1E0B" w:rsidRDefault="00C924F2">
      <w:pPr>
        <w:pStyle w:val="afd"/>
        <w:numPr>
          <w:ilvl w:val="0"/>
          <w:numId w:val="3"/>
        </w:numPr>
        <w:ind w:left="426" w:firstLineChars="0"/>
      </w:pPr>
      <w:r>
        <w:rPr>
          <w:rFonts w:hint="eastAsia"/>
        </w:rPr>
        <w:t>在委员会报告确认某些团体主张进行全面的审查后，对加拿大税制进行全面审查；</w:t>
      </w:r>
    </w:p>
    <w:p w14:paraId="2088B638" w14:textId="77777777" w:rsidR="00DD1E0B" w:rsidRDefault="00C924F2">
      <w:pPr>
        <w:pStyle w:val="afd"/>
        <w:numPr>
          <w:ilvl w:val="0"/>
          <w:numId w:val="3"/>
        </w:numPr>
        <w:ind w:left="426" w:firstLineChars="0"/>
      </w:pPr>
      <w:r>
        <w:rPr>
          <w:rFonts w:hint="eastAsia"/>
        </w:rPr>
        <w:t>将来源于营地和仓储设施的收入确认为活跃的业务收入；</w:t>
      </w:r>
    </w:p>
    <w:p w14:paraId="37C33DC3" w14:textId="77777777" w:rsidR="00DD1E0B" w:rsidRDefault="00C924F2">
      <w:pPr>
        <w:pStyle w:val="afd"/>
        <w:numPr>
          <w:ilvl w:val="0"/>
          <w:numId w:val="3"/>
        </w:numPr>
        <w:ind w:left="426" w:firstLineChars="0"/>
      </w:pPr>
      <w:r>
        <w:rPr>
          <w:rFonts w:hint="eastAsia"/>
        </w:rPr>
        <w:t>将心理健康咨询和心理治疗服务归类为零税率供应服务，适用于货物与服务税及统一销售税（</w:t>
      </w:r>
      <w:r>
        <w:rPr>
          <w:rFonts w:hint="eastAsia"/>
        </w:rPr>
        <w:t>GST/HST</w:t>
      </w:r>
      <w:r>
        <w:rPr>
          <w:rFonts w:hint="eastAsia"/>
        </w:rPr>
        <w:t>，</w:t>
      </w:r>
      <w:r>
        <w:t>Goods and Services Tax / Harmonized Sales Tax</w:t>
      </w:r>
      <w:r>
        <w:rPr>
          <w:rFonts w:hint="eastAsia"/>
        </w:rPr>
        <w:t>）的联邦部分；</w:t>
      </w:r>
    </w:p>
    <w:p w14:paraId="58253D40" w14:textId="77777777" w:rsidR="00DD1E0B" w:rsidRDefault="00C924F2">
      <w:pPr>
        <w:pStyle w:val="afd"/>
        <w:numPr>
          <w:ilvl w:val="0"/>
          <w:numId w:val="3"/>
        </w:numPr>
        <w:ind w:left="426" w:firstLineChars="0"/>
      </w:pPr>
      <w:r>
        <w:rPr>
          <w:rFonts w:hint="eastAsia"/>
        </w:rPr>
        <w:t>引入家庭能源改造翻新税收抵免。</w:t>
      </w:r>
    </w:p>
    <w:p w14:paraId="27ABB12B" w14:textId="77777777" w:rsidR="00DD1E0B" w:rsidRDefault="00C924F2">
      <w:pPr>
        <w:pStyle w:val="3"/>
      </w:pPr>
      <w:r>
        <w:t xml:space="preserve">1.2.2 </w:t>
      </w:r>
      <w:r>
        <w:t>背景及评价</w:t>
      </w:r>
    </w:p>
    <w:p w14:paraId="00B88E33" w14:textId="77777777" w:rsidR="00DD1E0B" w:rsidRDefault="00C924F2">
      <w:pPr>
        <w:pStyle w:val="ae"/>
      </w:pPr>
      <w:r>
        <w:t xml:space="preserve">1.2.2.1 </w:t>
      </w:r>
      <w:r>
        <w:t>背景</w:t>
      </w:r>
      <w:r>
        <w:rPr>
          <w:rStyle w:val="af9"/>
          <w:rFonts w:eastAsiaTheme="minorEastAsia" w:cs="Times New Roman"/>
          <w:szCs w:val="24"/>
        </w:rPr>
        <w:footnoteReference w:id="7"/>
      </w:r>
    </w:p>
    <w:p w14:paraId="39AEB481" w14:textId="77777777" w:rsidR="00DD1E0B" w:rsidRDefault="00C924F2">
      <w:pPr>
        <w:ind w:firstLine="480"/>
      </w:pPr>
      <w:r>
        <w:rPr>
          <w:rFonts w:hint="eastAsia"/>
        </w:rPr>
        <w:t>2018</w:t>
      </w:r>
      <w:r>
        <w:rPr>
          <w:rFonts w:hint="eastAsia"/>
        </w:rPr>
        <w:t>年的</w:t>
      </w:r>
      <w:r>
        <w:rPr>
          <w:rFonts w:hint="eastAsia"/>
        </w:rPr>
        <w:t>1</w:t>
      </w:r>
      <w:r>
        <w:rPr>
          <w:rFonts w:hint="eastAsia"/>
        </w:rPr>
        <w:t>月</w:t>
      </w:r>
      <w:r>
        <w:rPr>
          <w:rFonts w:hint="eastAsia"/>
        </w:rPr>
        <w:t>1</w:t>
      </w:r>
      <w:r>
        <w:rPr>
          <w:rFonts w:hint="eastAsia"/>
        </w:rPr>
        <w:t>日，加拿大正式实施由加拿大税务局颁布的新政策：反私人公司收入分配条例（</w:t>
      </w:r>
      <w:r>
        <w:rPr>
          <w:rFonts w:hint="eastAsia"/>
        </w:rPr>
        <w:t>New Income Splitting Rules</w:t>
      </w:r>
      <w:r>
        <w:rPr>
          <w:rFonts w:hint="eastAsia"/>
        </w:rPr>
        <w:t>）算是封了这条路。在此之前，加拿大税法允许私人公司给自己的亲属发放股权，从而得到一定的税务优势，而且惯例允许给亲属任意发放股息，没有上限（反之，若给亲属发放工资的话，税局则有要求其为合理市场额）。而新的政策下，所有发给亲属的股息一律算做不合理收入分配，以个人最高税率进行征税，这在税法上叫做“</w:t>
      </w:r>
      <w:r>
        <w:rPr>
          <w:rFonts w:hint="eastAsia"/>
        </w:rPr>
        <w:t xml:space="preserve">Tax on Split Income </w:t>
      </w:r>
      <w:r>
        <w:rPr>
          <w:rFonts w:hint="eastAsia"/>
        </w:rPr>
        <w:lastRenderedPageBreak/>
        <w:t>(TOSI)</w:t>
      </w:r>
      <w:r>
        <w:rPr>
          <w:rFonts w:hint="eastAsia"/>
        </w:rPr>
        <w:t>”，这包括：资本增值，利息和</w:t>
      </w:r>
      <w:r>
        <w:rPr>
          <w:rFonts w:hint="eastAsia"/>
        </w:rPr>
        <w:t>租金收入（但不包括资本红利）。与此同时，新政也推出了一系列的豁免条例，符合以下情况的个人家庭成员收到的金额可以被排除在惩罚性</w:t>
      </w:r>
      <w:r>
        <w:rPr>
          <w:rFonts w:hint="eastAsia"/>
        </w:rPr>
        <w:t>TOSI</w:t>
      </w:r>
      <w:r>
        <w:rPr>
          <w:rFonts w:hint="eastAsia"/>
        </w:rPr>
        <w:t>规则之外。新政豁免规定：</w:t>
      </w:r>
    </w:p>
    <w:p w14:paraId="7E4F8596" w14:textId="77777777" w:rsidR="00DD1E0B" w:rsidRDefault="00C924F2">
      <w:pPr>
        <w:pStyle w:val="afd"/>
        <w:numPr>
          <w:ilvl w:val="0"/>
          <w:numId w:val="4"/>
        </w:numPr>
        <w:ind w:left="426" w:firstLineChars="0"/>
      </w:pPr>
      <w:r>
        <w:rPr>
          <w:rFonts w:hint="eastAsia"/>
        </w:rPr>
        <w:t>过世的父母传承给自己子女的财产（这是政府的让步，去年的提案是包括这类情况的）；</w:t>
      </w:r>
    </w:p>
    <w:p w14:paraId="4BC4CBB2" w14:textId="77777777" w:rsidR="00DD1E0B" w:rsidRDefault="00C924F2">
      <w:pPr>
        <w:pStyle w:val="afd"/>
        <w:numPr>
          <w:ilvl w:val="0"/>
          <w:numId w:val="4"/>
        </w:numPr>
        <w:ind w:left="426" w:firstLineChars="0"/>
      </w:pPr>
      <w:r>
        <w:rPr>
          <w:rFonts w:hint="eastAsia"/>
        </w:rPr>
        <w:t>夫妻离婚或正式分居而发生的财产分割；</w:t>
      </w:r>
    </w:p>
    <w:p w14:paraId="57C73D69" w14:textId="77777777" w:rsidR="00DD1E0B" w:rsidRDefault="00C924F2">
      <w:pPr>
        <w:pStyle w:val="afd"/>
        <w:numPr>
          <w:ilvl w:val="0"/>
          <w:numId w:val="4"/>
        </w:numPr>
        <w:ind w:left="426" w:firstLineChars="0"/>
      </w:pPr>
      <w:r>
        <w:rPr>
          <w:rFonts w:hint="eastAsia"/>
        </w:rPr>
        <w:t>股东本人过世所产生的资本增值；</w:t>
      </w:r>
    </w:p>
    <w:p w14:paraId="118BC581" w14:textId="77777777" w:rsidR="00DD1E0B" w:rsidRDefault="00C924F2">
      <w:pPr>
        <w:pStyle w:val="afd"/>
        <w:numPr>
          <w:ilvl w:val="0"/>
          <w:numId w:val="4"/>
        </w:numPr>
        <w:ind w:left="426" w:firstLineChars="0"/>
      </w:pPr>
      <w:r>
        <w:rPr>
          <w:rFonts w:hint="eastAsia"/>
        </w:rPr>
        <w:t>符合终生免资本增值税的私人公司（</w:t>
      </w:r>
      <w:r>
        <w:rPr>
          <w:rFonts w:hint="eastAsia"/>
        </w:rPr>
        <w:t>QSBC</w:t>
      </w:r>
      <w:r>
        <w:rPr>
          <w:rFonts w:hint="eastAsia"/>
        </w:rPr>
        <w:t>，</w:t>
      </w:r>
      <w:r>
        <w:rPr>
          <w:rFonts w:hint="eastAsia"/>
        </w:rPr>
        <w:t>Qualifying Small Business Corporation or</w:t>
      </w:r>
      <w:r>
        <w:rPr>
          <w:rFonts w:hint="eastAsia"/>
        </w:rPr>
        <w:t>）且股东高于</w:t>
      </w:r>
      <w:r>
        <w:rPr>
          <w:rFonts w:hint="eastAsia"/>
        </w:rPr>
        <w:t>18</w:t>
      </w:r>
      <w:r>
        <w:rPr>
          <w:rFonts w:hint="eastAsia"/>
        </w:rPr>
        <w:t>岁或来自关联公司及例外公司；</w:t>
      </w:r>
    </w:p>
    <w:p w14:paraId="3A24AFF8" w14:textId="77777777" w:rsidR="00DD1E0B" w:rsidRDefault="00C924F2">
      <w:pPr>
        <w:pStyle w:val="afd"/>
        <w:numPr>
          <w:ilvl w:val="0"/>
          <w:numId w:val="4"/>
        </w:numPr>
        <w:ind w:left="426" w:firstLineChars="0"/>
      </w:pPr>
      <w:r>
        <w:rPr>
          <w:rFonts w:hint="eastAsia"/>
        </w:rPr>
        <w:t>18-23</w:t>
      </w:r>
      <w:r>
        <w:rPr>
          <w:rFonts w:hint="eastAsia"/>
        </w:rPr>
        <w:t>岁（低于</w:t>
      </w:r>
      <w:r>
        <w:rPr>
          <w:rFonts w:hint="eastAsia"/>
        </w:rPr>
        <w:t>24</w:t>
      </w:r>
      <w:r>
        <w:rPr>
          <w:rFonts w:hint="eastAsia"/>
        </w:rPr>
        <w:t>岁）的“安全资</w:t>
      </w:r>
      <w:r>
        <w:rPr>
          <w:rFonts w:hint="eastAsia"/>
        </w:rPr>
        <w:t>本回报（</w:t>
      </w:r>
      <w:r>
        <w:rPr>
          <w:rFonts w:hint="eastAsia"/>
        </w:rPr>
        <w:t>Safe Harbour Capital Return</w:t>
      </w:r>
      <w:r>
        <w:rPr>
          <w:rFonts w:hint="eastAsia"/>
        </w:rPr>
        <w:t>）”或“非关联资本”的合理回报（</w:t>
      </w:r>
      <w:r>
        <w:rPr>
          <w:rFonts w:hint="eastAsia"/>
        </w:rPr>
        <w:t>Reasonable Return</w:t>
      </w:r>
      <w:r>
        <w:rPr>
          <w:rFonts w:hint="eastAsia"/>
        </w:rPr>
        <w:t>）；</w:t>
      </w:r>
    </w:p>
    <w:p w14:paraId="2C7F8939" w14:textId="77777777" w:rsidR="00DD1E0B" w:rsidRDefault="00C924F2">
      <w:pPr>
        <w:pStyle w:val="afd"/>
        <w:numPr>
          <w:ilvl w:val="0"/>
          <w:numId w:val="4"/>
        </w:numPr>
        <w:ind w:left="426" w:firstLineChars="0"/>
      </w:pPr>
      <w:r>
        <w:rPr>
          <w:rFonts w:hint="eastAsia"/>
        </w:rPr>
        <w:t>24</w:t>
      </w:r>
      <w:r>
        <w:rPr>
          <w:rFonts w:hint="eastAsia"/>
        </w:rPr>
        <w:t>岁或以上的例外股权收入；</w:t>
      </w:r>
    </w:p>
    <w:p w14:paraId="33C0182A" w14:textId="77777777" w:rsidR="00DD1E0B" w:rsidRDefault="00C924F2">
      <w:pPr>
        <w:pStyle w:val="afd"/>
        <w:numPr>
          <w:ilvl w:val="0"/>
          <w:numId w:val="4"/>
        </w:numPr>
        <w:ind w:left="426" w:firstLineChars="0"/>
      </w:pPr>
      <w:r>
        <w:rPr>
          <w:rFonts w:hint="eastAsia"/>
        </w:rPr>
        <w:t>超过</w:t>
      </w:r>
      <w:r>
        <w:rPr>
          <w:rFonts w:hint="eastAsia"/>
        </w:rPr>
        <w:t>64</w:t>
      </w:r>
      <w:r>
        <w:rPr>
          <w:rFonts w:hint="eastAsia"/>
        </w:rPr>
        <w:t>岁的任何公司夫妻收入分配。</w:t>
      </w:r>
    </w:p>
    <w:p w14:paraId="6B6BCF88" w14:textId="77777777" w:rsidR="00DD1E0B" w:rsidRDefault="00C924F2">
      <w:pPr>
        <w:pStyle w:val="ae"/>
      </w:pPr>
      <w:r>
        <w:t xml:space="preserve">1.2.2.2 </w:t>
      </w:r>
      <w:r>
        <w:t>评价</w:t>
      </w:r>
    </w:p>
    <w:p w14:paraId="2205912A" w14:textId="77777777" w:rsidR="00DD1E0B" w:rsidRDefault="00C924F2">
      <w:pPr>
        <w:ind w:firstLine="480"/>
      </w:pPr>
      <w:r>
        <w:rPr>
          <w:rFonts w:hint="eastAsia"/>
        </w:rPr>
        <w:t>从加拿大的预算前报告中我们大致可以推测</w:t>
      </w:r>
      <w:r>
        <w:rPr>
          <w:rFonts w:hint="eastAsia"/>
        </w:rPr>
        <w:t>2018</w:t>
      </w:r>
      <w:r>
        <w:rPr>
          <w:rFonts w:hint="eastAsia"/>
        </w:rPr>
        <w:t>年预算法案的一些措施，在私人公司税收措施上似乎旧政策给予了私人企业比较人性化的支持创业的福利，而新政策针对发放给亲属股息做了一定惩罚性处理，所以私人公司的所有者不能轻易给亲属发红利了。当然政府也有一定的豁免规定，因此私人公司可以通过某些操作避免</w:t>
      </w:r>
      <w:r>
        <w:rPr>
          <w:rFonts w:hint="eastAsia"/>
        </w:rPr>
        <w:t>使用到惩罚性的</w:t>
      </w:r>
      <w:r>
        <w:rPr>
          <w:rFonts w:hint="eastAsia"/>
        </w:rPr>
        <w:t>TOSI</w:t>
      </w:r>
      <w:r>
        <w:rPr>
          <w:rFonts w:hint="eastAsia"/>
        </w:rPr>
        <w:t>规则，例如分割生意然后每个家庭成员各拥有和管理自己的公司、减少关联收入（如租金，利息，管理费等）、不要随意发放亲属股息、支付合理的工资给亲属、让亲属多参与公司经营，并留有记录和可查文件，成为例外公司、减少公司服务型收入低于</w:t>
      </w:r>
      <w:r>
        <w:rPr>
          <w:rFonts w:hint="eastAsia"/>
        </w:rPr>
        <w:t>90%</w:t>
      </w:r>
      <w:r>
        <w:rPr>
          <w:rFonts w:hint="eastAsia"/>
        </w:rPr>
        <w:t>，成为例外股权等等。在公司税收措施上，加拿大政府更加鼓励企业进行创新研究，计划给予更多的税收优惠。在国际税收上，对于</w:t>
      </w:r>
      <w:r>
        <w:rPr>
          <w:rFonts w:hint="eastAsia"/>
        </w:rPr>
        <w:t>BEPS</w:t>
      </w:r>
      <w:r>
        <w:rPr>
          <w:rFonts w:hint="eastAsia"/>
        </w:rPr>
        <w:t>项目的相关措施，加拿大政府正在积极进行实施，希望能够提高全球的税收透明度和减少税基侵蚀与利润转移。当然，具体的</w:t>
      </w:r>
      <w:r>
        <w:rPr>
          <w:rFonts w:hint="eastAsia"/>
        </w:rPr>
        <w:t>2018</w:t>
      </w:r>
      <w:r>
        <w:rPr>
          <w:rFonts w:hint="eastAsia"/>
        </w:rPr>
        <w:t>年预算法案措施会在本</w:t>
      </w:r>
      <w:r>
        <w:rPr>
          <w:rFonts w:hint="eastAsia"/>
        </w:rPr>
        <w:t>月的</w:t>
      </w:r>
      <w:r>
        <w:rPr>
          <w:rFonts w:hint="eastAsia"/>
        </w:rPr>
        <w:t>27</w:t>
      </w:r>
      <w:r>
        <w:rPr>
          <w:rFonts w:hint="eastAsia"/>
        </w:rPr>
        <w:t>日提交，届时可对其进行具体的研究。</w:t>
      </w:r>
    </w:p>
    <w:p w14:paraId="4A9EBC5E" w14:textId="77777777" w:rsidR="00DD1E0B" w:rsidRDefault="00C924F2">
      <w:pPr>
        <w:pStyle w:val="2"/>
      </w:pPr>
      <w:bookmarkStart w:id="7" w:name="_Toc508835193"/>
      <w:r>
        <w:lastRenderedPageBreak/>
        <w:t xml:space="preserve">1.3 </w:t>
      </w:r>
      <w:r>
        <w:rPr>
          <w:rFonts w:hint="eastAsia"/>
        </w:rPr>
        <w:t>不列颠哥伦比亚省</w:t>
      </w:r>
      <w:r>
        <w:rPr>
          <w:rFonts w:hint="eastAsia"/>
        </w:rPr>
        <w:t>2018</w:t>
      </w:r>
      <w:r>
        <w:rPr>
          <w:rFonts w:hint="eastAsia"/>
        </w:rPr>
        <w:t>年预算法案的亮点</w:t>
      </w:r>
      <w:r>
        <w:rPr>
          <w:rStyle w:val="af9"/>
          <w:rFonts w:eastAsiaTheme="minorEastAsia" w:cs="Times New Roman"/>
          <w:szCs w:val="24"/>
        </w:rPr>
        <w:footnoteReference w:id="8"/>
      </w:r>
      <w:bookmarkEnd w:id="7"/>
    </w:p>
    <w:p w14:paraId="7F870335" w14:textId="77777777" w:rsidR="00DD1E0B" w:rsidRDefault="00C924F2">
      <w:pPr>
        <w:pStyle w:val="3"/>
      </w:pPr>
      <w:r>
        <w:t>1.</w:t>
      </w:r>
      <w:r>
        <w:rPr>
          <w:rFonts w:hint="eastAsia"/>
        </w:rPr>
        <w:t>3</w:t>
      </w:r>
      <w:r>
        <w:t xml:space="preserve">.1 </w:t>
      </w:r>
      <w:r>
        <w:t>内容</w:t>
      </w:r>
      <w:r>
        <w:rPr>
          <w:rStyle w:val="af9"/>
          <w:rFonts w:eastAsiaTheme="minorEastAsia" w:cs="Times New Roman"/>
          <w:szCs w:val="24"/>
        </w:rPr>
        <w:footnoteReference w:id="9"/>
      </w:r>
    </w:p>
    <w:p w14:paraId="17F1EB40" w14:textId="77777777" w:rsidR="00DD1E0B" w:rsidRDefault="00C924F2">
      <w:pPr>
        <w:ind w:firstLine="480"/>
      </w:pPr>
      <w:r>
        <w:rPr>
          <w:rFonts w:hint="eastAsia"/>
        </w:rPr>
        <w:t>2018</w:t>
      </w:r>
      <w:r>
        <w:rPr>
          <w:rFonts w:hint="eastAsia"/>
        </w:rPr>
        <w:t>年</w:t>
      </w:r>
      <w:r>
        <w:rPr>
          <w:rFonts w:hint="eastAsia"/>
        </w:rPr>
        <w:t>2</w:t>
      </w:r>
      <w:r>
        <w:rPr>
          <w:rFonts w:hint="eastAsia"/>
        </w:rPr>
        <w:t>月</w:t>
      </w:r>
      <w:r>
        <w:rPr>
          <w:rFonts w:hint="eastAsia"/>
        </w:rPr>
        <w:t>20</w:t>
      </w:r>
      <w:r>
        <w:rPr>
          <w:rFonts w:hint="eastAsia"/>
        </w:rPr>
        <w:t>日，加拿大不列颠哥伦比亚（</w:t>
      </w:r>
      <w:r>
        <w:rPr>
          <w:rFonts w:hint="eastAsia"/>
        </w:rPr>
        <w:t>B.C</w:t>
      </w:r>
      <w:r>
        <w:t>, British Columbia</w:t>
      </w:r>
      <w:r>
        <w:rPr>
          <w:rFonts w:hint="eastAsia"/>
        </w:rPr>
        <w:t>）省财政部长卡罗尔詹姆斯发布了该省的</w:t>
      </w:r>
      <w:r>
        <w:rPr>
          <w:rFonts w:hint="eastAsia"/>
        </w:rPr>
        <w:t>2018</w:t>
      </w:r>
      <w:r>
        <w:rPr>
          <w:rFonts w:hint="eastAsia"/>
        </w:rPr>
        <w:t>年预算法案。预算法案预计</w:t>
      </w:r>
      <w:r>
        <w:rPr>
          <w:rFonts w:hint="eastAsia"/>
        </w:rPr>
        <w:t>2018</w:t>
      </w:r>
      <w:r>
        <w:rPr>
          <w:rFonts w:hint="eastAsia"/>
        </w:rPr>
        <w:t>年政府盈余为</w:t>
      </w:r>
      <w:r>
        <w:rPr>
          <w:rFonts w:hint="eastAsia"/>
        </w:rPr>
        <w:t>2.19</w:t>
      </w:r>
      <w:r>
        <w:rPr>
          <w:rFonts w:hint="eastAsia"/>
        </w:rPr>
        <w:t>亿美元，</w:t>
      </w:r>
      <w:r>
        <w:rPr>
          <w:rFonts w:hint="eastAsia"/>
        </w:rPr>
        <w:t>2019</w:t>
      </w:r>
      <w:r>
        <w:rPr>
          <w:rFonts w:hint="eastAsia"/>
        </w:rPr>
        <w:t>年为</w:t>
      </w:r>
      <w:r>
        <w:rPr>
          <w:rFonts w:hint="eastAsia"/>
        </w:rPr>
        <w:t>2.81</w:t>
      </w:r>
      <w:r>
        <w:rPr>
          <w:rFonts w:hint="eastAsia"/>
        </w:rPr>
        <w:t>亿美元，</w:t>
      </w:r>
      <w:r>
        <w:rPr>
          <w:rFonts w:hint="eastAsia"/>
        </w:rPr>
        <w:t>2020</w:t>
      </w:r>
      <w:r>
        <w:rPr>
          <w:rFonts w:hint="eastAsia"/>
        </w:rPr>
        <w:t>年为</w:t>
      </w:r>
      <w:r>
        <w:rPr>
          <w:rFonts w:hint="eastAsia"/>
        </w:rPr>
        <w:t>2.84</w:t>
      </w:r>
      <w:r>
        <w:rPr>
          <w:rFonts w:hint="eastAsia"/>
        </w:rPr>
        <w:t>亿美元。预算强调该省的住房计划并使生活更加实惠。具体来说，预算将取消</w:t>
      </w:r>
      <w:r>
        <w:rPr>
          <w:rFonts w:hint="eastAsia"/>
        </w:rPr>
        <w:t>2020</w:t>
      </w:r>
      <w:r>
        <w:rPr>
          <w:rFonts w:hint="eastAsia"/>
        </w:rPr>
        <w:t>年</w:t>
      </w:r>
      <w:r>
        <w:rPr>
          <w:rFonts w:hint="eastAsia"/>
        </w:rPr>
        <w:t>1</w:t>
      </w:r>
      <w:r>
        <w:rPr>
          <w:rFonts w:hint="eastAsia"/>
        </w:rPr>
        <w:t>月</w:t>
      </w:r>
      <w:r>
        <w:rPr>
          <w:rFonts w:hint="eastAsia"/>
        </w:rPr>
        <w:t>1</w:t>
      </w:r>
      <w:r>
        <w:rPr>
          <w:rFonts w:hint="eastAsia"/>
        </w:rPr>
        <w:t>日生效的医疗服务计划保费，引入</w:t>
      </w:r>
      <w:r>
        <w:rPr>
          <w:rFonts w:hint="eastAsia"/>
        </w:rPr>
        <w:t>2019</w:t>
      </w:r>
      <w:r>
        <w:rPr>
          <w:rFonts w:hint="eastAsia"/>
        </w:rPr>
        <w:t>年</w:t>
      </w:r>
      <w:r>
        <w:rPr>
          <w:rFonts w:hint="eastAsia"/>
        </w:rPr>
        <w:t>1</w:t>
      </w:r>
      <w:r>
        <w:rPr>
          <w:rFonts w:hint="eastAsia"/>
        </w:rPr>
        <w:t>月</w:t>
      </w:r>
      <w:r>
        <w:rPr>
          <w:rFonts w:hint="eastAsia"/>
        </w:rPr>
        <w:t>1</w:t>
      </w:r>
      <w:r>
        <w:rPr>
          <w:rFonts w:hint="eastAsia"/>
        </w:rPr>
        <w:t>日生效的雇主健康税，并包括各</w:t>
      </w:r>
      <w:r>
        <w:rPr>
          <w:rFonts w:hint="eastAsia"/>
        </w:rPr>
        <w:t>种与住房相关的税收措施，包括增加新的“投机性税收”，预算还引入新的规则来更好地追踪受益所有权的变化。</w:t>
      </w:r>
    </w:p>
    <w:p w14:paraId="36DAC719" w14:textId="77777777" w:rsidR="00DD1E0B" w:rsidRDefault="00C924F2">
      <w:pPr>
        <w:pStyle w:val="ae"/>
      </w:pPr>
      <w:r>
        <w:t>1.</w:t>
      </w:r>
      <w:r>
        <w:rPr>
          <w:rFonts w:hint="eastAsia"/>
        </w:rPr>
        <w:t>3</w:t>
      </w:r>
      <w:r>
        <w:t xml:space="preserve">.1.1 </w:t>
      </w:r>
      <w:r>
        <w:rPr>
          <w:rFonts w:hint="eastAsia"/>
        </w:rPr>
        <w:t>公司税收变更</w:t>
      </w:r>
    </w:p>
    <w:p w14:paraId="0214E38D" w14:textId="77777777" w:rsidR="00DD1E0B" w:rsidRDefault="00C924F2">
      <w:pPr>
        <w:ind w:firstLine="480"/>
      </w:pPr>
      <w:r>
        <w:rPr>
          <w:rFonts w:hint="eastAsia"/>
        </w:rPr>
        <w:t>（</w:t>
      </w:r>
      <w:r>
        <w:rPr>
          <w:rFonts w:hint="eastAsia"/>
        </w:rPr>
        <w:t>1</w:t>
      </w:r>
      <w:r>
        <w:rPr>
          <w:rFonts w:hint="eastAsia"/>
        </w:rPr>
        <w:t>）公司所得税税率</w:t>
      </w:r>
    </w:p>
    <w:p w14:paraId="766A470D" w14:textId="77777777" w:rsidR="00DD1E0B" w:rsidRDefault="00C924F2">
      <w:pPr>
        <w:ind w:firstLine="480"/>
      </w:pPr>
      <w:r>
        <w:rPr>
          <w:rFonts w:hint="eastAsia"/>
        </w:rPr>
        <w:t>预算法案没有公布不列颠哥伦比亚省企业所得税率的变化。因此，该省的企业所得税税率如下：</w:t>
      </w:r>
    </w:p>
    <w:tbl>
      <w:tblPr>
        <w:tblStyle w:val="afa"/>
        <w:tblW w:w="8296" w:type="dxa"/>
        <w:tblLayout w:type="fixed"/>
        <w:tblLook w:val="04A0" w:firstRow="1" w:lastRow="0" w:firstColumn="1" w:lastColumn="0" w:noHBand="0" w:noVBand="1"/>
      </w:tblPr>
      <w:tblGrid>
        <w:gridCol w:w="2024"/>
        <w:gridCol w:w="3131"/>
        <w:gridCol w:w="3141"/>
      </w:tblGrid>
      <w:tr w:rsidR="00DD1E0B" w14:paraId="0DAC9547" w14:textId="77777777">
        <w:tc>
          <w:tcPr>
            <w:tcW w:w="8296" w:type="dxa"/>
            <w:gridSpan w:val="3"/>
            <w:shd w:val="clear" w:color="auto" w:fill="BFBFBF" w:themeFill="background1" w:themeFillShade="BF"/>
            <w:vAlign w:val="center"/>
          </w:tcPr>
          <w:p w14:paraId="6634ABB8" w14:textId="77777777" w:rsidR="00DD1E0B" w:rsidRDefault="00C924F2">
            <w:pPr>
              <w:spacing w:line="240" w:lineRule="auto"/>
              <w:ind w:firstLineChars="0" w:firstLine="0"/>
              <w:jc w:val="center"/>
              <w:rPr>
                <w:rFonts w:eastAsiaTheme="minorEastAsia" w:cs="Times New Roman"/>
                <w:b/>
                <w:sz w:val="21"/>
                <w:szCs w:val="24"/>
              </w:rPr>
            </w:pPr>
            <w:r>
              <w:rPr>
                <w:rFonts w:eastAsiaTheme="minorEastAsia" w:cs="Times New Roman"/>
                <w:b/>
                <w:sz w:val="21"/>
                <w:szCs w:val="24"/>
              </w:rPr>
              <w:t>企业所得税税率（截至</w:t>
            </w:r>
            <w:r>
              <w:rPr>
                <w:rFonts w:eastAsiaTheme="minorEastAsia" w:cs="Times New Roman"/>
                <w:b/>
                <w:sz w:val="21"/>
                <w:szCs w:val="24"/>
              </w:rPr>
              <w:t>2018</w:t>
            </w:r>
            <w:r>
              <w:rPr>
                <w:rFonts w:eastAsiaTheme="minorEastAsia" w:cs="Times New Roman"/>
                <w:b/>
                <w:sz w:val="21"/>
                <w:szCs w:val="24"/>
              </w:rPr>
              <w:t>年</w:t>
            </w:r>
            <w:r>
              <w:rPr>
                <w:rFonts w:eastAsiaTheme="minorEastAsia" w:cs="Times New Roman"/>
                <w:b/>
                <w:sz w:val="21"/>
                <w:szCs w:val="24"/>
              </w:rPr>
              <w:t>1</w:t>
            </w:r>
            <w:r>
              <w:rPr>
                <w:rFonts w:eastAsiaTheme="minorEastAsia" w:cs="Times New Roman"/>
                <w:b/>
                <w:sz w:val="21"/>
                <w:szCs w:val="24"/>
              </w:rPr>
              <w:t>月</w:t>
            </w:r>
            <w:r>
              <w:rPr>
                <w:rFonts w:eastAsiaTheme="minorEastAsia" w:cs="Times New Roman"/>
                <w:b/>
                <w:sz w:val="21"/>
                <w:szCs w:val="24"/>
              </w:rPr>
              <w:t>1</w:t>
            </w:r>
            <w:r>
              <w:rPr>
                <w:rFonts w:eastAsiaTheme="minorEastAsia" w:cs="Times New Roman"/>
                <w:b/>
                <w:sz w:val="21"/>
                <w:szCs w:val="24"/>
              </w:rPr>
              <w:t>日）</w:t>
            </w:r>
          </w:p>
        </w:tc>
      </w:tr>
      <w:tr w:rsidR="00DD1E0B" w14:paraId="4FC13E0A" w14:textId="77777777">
        <w:trPr>
          <w:trHeight w:val="548"/>
        </w:trPr>
        <w:tc>
          <w:tcPr>
            <w:tcW w:w="2024" w:type="dxa"/>
            <w:shd w:val="clear" w:color="auto" w:fill="FFFFFF" w:themeFill="background1"/>
            <w:vAlign w:val="center"/>
          </w:tcPr>
          <w:p w14:paraId="30E779B2" w14:textId="77777777" w:rsidR="00DD1E0B" w:rsidRDefault="00DD1E0B">
            <w:pPr>
              <w:spacing w:line="240" w:lineRule="auto"/>
              <w:ind w:firstLineChars="0" w:firstLine="0"/>
              <w:jc w:val="center"/>
              <w:rPr>
                <w:rFonts w:eastAsiaTheme="minorEastAsia" w:cs="Times New Roman"/>
                <w:sz w:val="21"/>
                <w:szCs w:val="24"/>
              </w:rPr>
            </w:pPr>
          </w:p>
        </w:tc>
        <w:tc>
          <w:tcPr>
            <w:tcW w:w="3131" w:type="dxa"/>
            <w:shd w:val="clear" w:color="auto" w:fill="FFFFFF" w:themeFill="background1"/>
            <w:vAlign w:val="center"/>
          </w:tcPr>
          <w:p w14:paraId="3B345E48" w14:textId="77777777" w:rsidR="00DD1E0B" w:rsidRDefault="00C924F2">
            <w:pPr>
              <w:spacing w:line="240" w:lineRule="auto"/>
              <w:ind w:firstLineChars="0" w:firstLine="0"/>
              <w:jc w:val="center"/>
              <w:rPr>
                <w:rFonts w:eastAsiaTheme="minorEastAsia" w:cs="Times New Roman"/>
                <w:b/>
                <w:sz w:val="21"/>
                <w:szCs w:val="24"/>
              </w:rPr>
            </w:pPr>
            <w:r>
              <w:rPr>
                <w:rFonts w:eastAsiaTheme="minorEastAsia" w:cs="Times New Roman"/>
                <w:sz w:val="21"/>
                <w:szCs w:val="24"/>
              </w:rPr>
              <w:t>不列颠哥伦比亚省税率</w:t>
            </w:r>
          </w:p>
        </w:tc>
        <w:tc>
          <w:tcPr>
            <w:tcW w:w="3141" w:type="dxa"/>
            <w:shd w:val="clear" w:color="auto" w:fill="FFFFFF" w:themeFill="background1"/>
            <w:vAlign w:val="center"/>
          </w:tcPr>
          <w:p w14:paraId="6311C7F8" w14:textId="77777777" w:rsidR="00DD1E0B" w:rsidRDefault="00C924F2">
            <w:pPr>
              <w:spacing w:line="240" w:lineRule="auto"/>
              <w:ind w:firstLineChars="0" w:firstLine="0"/>
              <w:jc w:val="center"/>
              <w:rPr>
                <w:rFonts w:eastAsiaTheme="minorEastAsia" w:cs="Times New Roman"/>
                <w:sz w:val="21"/>
                <w:szCs w:val="24"/>
              </w:rPr>
            </w:pPr>
            <w:r>
              <w:rPr>
                <w:rFonts w:eastAsiaTheme="minorEastAsia" w:cs="Times New Roman"/>
                <w:sz w:val="21"/>
                <w:szCs w:val="24"/>
              </w:rPr>
              <w:t>联邦与不列颠哥伦比亚省</w:t>
            </w:r>
          </w:p>
          <w:p w14:paraId="3C3170CD" w14:textId="77777777" w:rsidR="00DD1E0B" w:rsidRDefault="00C924F2">
            <w:pPr>
              <w:spacing w:line="240" w:lineRule="auto"/>
              <w:ind w:firstLineChars="0" w:firstLine="0"/>
              <w:jc w:val="center"/>
              <w:rPr>
                <w:rFonts w:eastAsiaTheme="minorEastAsia" w:cs="Times New Roman"/>
                <w:b/>
                <w:sz w:val="21"/>
                <w:szCs w:val="24"/>
              </w:rPr>
            </w:pPr>
            <w:r>
              <w:rPr>
                <w:rFonts w:eastAsiaTheme="minorEastAsia" w:cs="Times New Roman"/>
                <w:sz w:val="21"/>
                <w:szCs w:val="24"/>
              </w:rPr>
              <w:t>合并税率</w:t>
            </w:r>
          </w:p>
        </w:tc>
      </w:tr>
      <w:tr w:rsidR="00DD1E0B" w14:paraId="76F9ADF9" w14:textId="77777777">
        <w:tc>
          <w:tcPr>
            <w:tcW w:w="2024" w:type="dxa"/>
            <w:vAlign w:val="center"/>
          </w:tcPr>
          <w:p w14:paraId="4375F01B" w14:textId="77777777" w:rsidR="00DD1E0B" w:rsidRDefault="00C924F2">
            <w:pPr>
              <w:spacing w:line="240" w:lineRule="auto"/>
              <w:ind w:firstLineChars="0" w:firstLine="0"/>
              <w:jc w:val="center"/>
              <w:rPr>
                <w:rFonts w:eastAsiaTheme="minorEastAsia" w:cs="Times New Roman"/>
                <w:sz w:val="21"/>
                <w:szCs w:val="24"/>
              </w:rPr>
            </w:pPr>
            <w:r>
              <w:rPr>
                <w:rFonts w:eastAsiaTheme="minorEastAsia" w:cs="Times New Roman"/>
                <w:sz w:val="21"/>
                <w:szCs w:val="24"/>
              </w:rPr>
              <w:t>一般企业</w:t>
            </w:r>
          </w:p>
        </w:tc>
        <w:tc>
          <w:tcPr>
            <w:tcW w:w="3131" w:type="dxa"/>
            <w:vAlign w:val="center"/>
          </w:tcPr>
          <w:p w14:paraId="1E8919EC" w14:textId="77777777" w:rsidR="00DD1E0B" w:rsidRDefault="00C924F2">
            <w:pPr>
              <w:spacing w:line="240" w:lineRule="auto"/>
              <w:ind w:firstLineChars="0" w:firstLine="0"/>
              <w:jc w:val="center"/>
              <w:rPr>
                <w:rFonts w:eastAsiaTheme="minorEastAsia" w:cs="Times New Roman"/>
                <w:sz w:val="21"/>
                <w:szCs w:val="24"/>
                <w:vertAlign w:val="superscript"/>
              </w:rPr>
            </w:pPr>
            <w:r>
              <w:rPr>
                <w:rFonts w:eastAsiaTheme="minorEastAsia" w:cs="Times New Roman"/>
                <w:sz w:val="21"/>
                <w:szCs w:val="24"/>
              </w:rPr>
              <w:t>12%</w:t>
            </w:r>
          </w:p>
        </w:tc>
        <w:tc>
          <w:tcPr>
            <w:tcW w:w="3141" w:type="dxa"/>
            <w:vAlign w:val="center"/>
          </w:tcPr>
          <w:p w14:paraId="0CB42B9C" w14:textId="77777777" w:rsidR="00DD1E0B" w:rsidRDefault="00C924F2">
            <w:pPr>
              <w:spacing w:line="240" w:lineRule="auto"/>
              <w:ind w:firstLineChars="0" w:firstLine="0"/>
              <w:jc w:val="center"/>
              <w:rPr>
                <w:rFonts w:eastAsiaTheme="minorEastAsia" w:cs="Times New Roman"/>
                <w:sz w:val="21"/>
                <w:szCs w:val="24"/>
                <w:vertAlign w:val="superscript"/>
              </w:rPr>
            </w:pPr>
            <w:r>
              <w:rPr>
                <w:rFonts w:eastAsiaTheme="minorEastAsia" w:cs="Times New Roman"/>
                <w:sz w:val="21"/>
                <w:szCs w:val="24"/>
              </w:rPr>
              <w:t>27%</w:t>
            </w:r>
          </w:p>
        </w:tc>
      </w:tr>
      <w:tr w:rsidR="00DD1E0B" w14:paraId="65F03826" w14:textId="77777777">
        <w:tc>
          <w:tcPr>
            <w:tcW w:w="2024" w:type="dxa"/>
            <w:vAlign w:val="center"/>
          </w:tcPr>
          <w:p w14:paraId="63943366" w14:textId="77777777" w:rsidR="00DD1E0B" w:rsidRDefault="00C924F2">
            <w:pPr>
              <w:spacing w:line="240" w:lineRule="auto"/>
              <w:ind w:firstLineChars="0" w:firstLine="0"/>
              <w:jc w:val="center"/>
              <w:rPr>
                <w:rFonts w:eastAsiaTheme="minorEastAsia" w:cs="Times New Roman"/>
                <w:sz w:val="21"/>
                <w:szCs w:val="24"/>
              </w:rPr>
            </w:pPr>
            <w:r>
              <w:rPr>
                <w:rFonts w:eastAsiaTheme="minorEastAsia" w:cs="Times New Roman"/>
                <w:sz w:val="21"/>
                <w:szCs w:val="24"/>
              </w:rPr>
              <w:t>制造与加工企业</w:t>
            </w:r>
          </w:p>
        </w:tc>
        <w:tc>
          <w:tcPr>
            <w:tcW w:w="3131" w:type="dxa"/>
            <w:vAlign w:val="center"/>
          </w:tcPr>
          <w:p w14:paraId="4784B954" w14:textId="77777777" w:rsidR="00DD1E0B" w:rsidRDefault="00C924F2">
            <w:pPr>
              <w:spacing w:line="240" w:lineRule="auto"/>
              <w:ind w:firstLineChars="0" w:firstLine="0"/>
              <w:jc w:val="center"/>
              <w:rPr>
                <w:rFonts w:eastAsiaTheme="minorEastAsia" w:cs="Times New Roman"/>
                <w:sz w:val="21"/>
                <w:szCs w:val="24"/>
                <w:vertAlign w:val="superscript"/>
              </w:rPr>
            </w:pPr>
            <w:r>
              <w:rPr>
                <w:rFonts w:eastAsiaTheme="minorEastAsia" w:cs="Times New Roman"/>
                <w:sz w:val="21"/>
                <w:szCs w:val="24"/>
              </w:rPr>
              <w:t>12%</w:t>
            </w:r>
          </w:p>
        </w:tc>
        <w:tc>
          <w:tcPr>
            <w:tcW w:w="3141" w:type="dxa"/>
            <w:vAlign w:val="center"/>
          </w:tcPr>
          <w:p w14:paraId="49C6AD39" w14:textId="77777777" w:rsidR="00DD1E0B" w:rsidRDefault="00C924F2">
            <w:pPr>
              <w:spacing w:line="240" w:lineRule="auto"/>
              <w:ind w:firstLineChars="0" w:firstLine="0"/>
              <w:jc w:val="center"/>
              <w:rPr>
                <w:rFonts w:eastAsiaTheme="minorEastAsia" w:cs="Times New Roman"/>
                <w:sz w:val="21"/>
                <w:szCs w:val="24"/>
                <w:vertAlign w:val="superscript"/>
              </w:rPr>
            </w:pPr>
            <w:r>
              <w:rPr>
                <w:rFonts w:eastAsiaTheme="minorEastAsia" w:cs="Times New Roman"/>
                <w:sz w:val="21"/>
                <w:szCs w:val="24"/>
              </w:rPr>
              <w:t>27%</w:t>
            </w:r>
          </w:p>
        </w:tc>
      </w:tr>
      <w:tr w:rsidR="00DD1E0B" w14:paraId="3C7D4F6D" w14:textId="77777777">
        <w:tc>
          <w:tcPr>
            <w:tcW w:w="2024" w:type="dxa"/>
            <w:vAlign w:val="center"/>
          </w:tcPr>
          <w:p w14:paraId="4BA6FED8" w14:textId="77777777" w:rsidR="00DD1E0B" w:rsidRDefault="00C924F2">
            <w:pPr>
              <w:spacing w:line="240" w:lineRule="auto"/>
              <w:ind w:firstLineChars="0" w:firstLine="0"/>
              <w:jc w:val="center"/>
              <w:rPr>
                <w:rFonts w:eastAsiaTheme="minorEastAsia" w:cs="Times New Roman"/>
                <w:sz w:val="21"/>
                <w:szCs w:val="24"/>
                <w:vertAlign w:val="superscript"/>
              </w:rPr>
            </w:pPr>
            <w:r>
              <w:rPr>
                <w:rFonts w:eastAsiaTheme="minorEastAsia" w:cs="Times New Roman"/>
                <w:sz w:val="21"/>
                <w:szCs w:val="24"/>
              </w:rPr>
              <w:t>小企业</w:t>
            </w:r>
            <w:r>
              <w:rPr>
                <w:rFonts w:eastAsiaTheme="minorEastAsia" w:cs="Times New Roman"/>
                <w:sz w:val="21"/>
                <w:szCs w:val="24"/>
                <w:vertAlign w:val="superscript"/>
              </w:rPr>
              <w:t>1</w:t>
            </w:r>
          </w:p>
        </w:tc>
        <w:tc>
          <w:tcPr>
            <w:tcW w:w="3131" w:type="dxa"/>
            <w:vAlign w:val="center"/>
          </w:tcPr>
          <w:p w14:paraId="608B73AB" w14:textId="77777777" w:rsidR="00DD1E0B" w:rsidRDefault="00C924F2">
            <w:pPr>
              <w:spacing w:line="240" w:lineRule="auto"/>
              <w:ind w:firstLineChars="0" w:firstLine="0"/>
              <w:jc w:val="center"/>
              <w:rPr>
                <w:rFonts w:eastAsiaTheme="minorEastAsia" w:cs="Times New Roman"/>
                <w:sz w:val="21"/>
                <w:szCs w:val="24"/>
                <w:vertAlign w:val="superscript"/>
              </w:rPr>
            </w:pPr>
            <w:r>
              <w:rPr>
                <w:rFonts w:eastAsiaTheme="minorEastAsia" w:cs="Times New Roman"/>
                <w:sz w:val="21"/>
                <w:szCs w:val="24"/>
              </w:rPr>
              <w:t>2%</w:t>
            </w:r>
          </w:p>
        </w:tc>
        <w:tc>
          <w:tcPr>
            <w:tcW w:w="3141" w:type="dxa"/>
            <w:vAlign w:val="center"/>
          </w:tcPr>
          <w:p w14:paraId="60E140BC" w14:textId="77777777" w:rsidR="00DD1E0B" w:rsidRDefault="00C924F2">
            <w:pPr>
              <w:keepNext/>
              <w:spacing w:line="240" w:lineRule="auto"/>
              <w:ind w:firstLineChars="0" w:firstLine="0"/>
              <w:jc w:val="center"/>
              <w:rPr>
                <w:rFonts w:eastAsiaTheme="minorEastAsia" w:cs="Times New Roman"/>
                <w:sz w:val="21"/>
                <w:szCs w:val="24"/>
                <w:vertAlign w:val="superscript"/>
              </w:rPr>
            </w:pPr>
            <w:r>
              <w:rPr>
                <w:rFonts w:eastAsiaTheme="minorEastAsia" w:cs="Times New Roman"/>
                <w:sz w:val="21"/>
                <w:szCs w:val="24"/>
              </w:rPr>
              <w:t>12</w:t>
            </w:r>
            <w:r>
              <w:rPr>
                <w:rFonts w:eastAsiaTheme="minorEastAsia" w:cs="Times New Roman" w:hint="eastAsia"/>
                <w:sz w:val="21"/>
                <w:szCs w:val="24"/>
              </w:rPr>
              <w:t>%</w:t>
            </w:r>
            <w:r>
              <w:rPr>
                <w:rFonts w:eastAsiaTheme="minorEastAsia" w:cs="Times New Roman"/>
                <w:sz w:val="21"/>
                <w:szCs w:val="24"/>
                <w:vertAlign w:val="superscript"/>
              </w:rPr>
              <w:t>2</w:t>
            </w:r>
          </w:p>
        </w:tc>
      </w:tr>
    </w:tbl>
    <w:p w14:paraId="2E5CEE5A" w14:textId="77777777" w:rsidR="00DD1E0B" w:rsidRDefault="00DD1E0B">
      <w:pPr>
        <w:pStyle w:val="a7"/>
        <w:spacing w:line="240" w:lineRule="auto"/>
        <w:ind w:firstLineChars="0" w:firstLine="0"/>
        <w:rPr>
          <w:rFonts w:ascii="Times New Roman" w:eastAsiaTheme="minorEastAsia" w:hAnsi="Times New Roman" w:cs="Times New Roman"/>
          <w:sz w:val="21"/>
          <w:szCs w:val="24"/>
        </w:rPr>
      </w:pPr>
    </w:p>
    <w:p w14:paraId="3E30BFCC" w14:textId="77777777" w:rsidR="00DD1E0B" w:rsidRDefault="00C924F2">
      <w:pPr>
        <w:spacing w:line="240" w:lineRule="auto"/>
        <w:ind w:firstLineChars="0" w:firstLine="0"/>
        <w:rPr>
          <w:sz w:val="21"/>
          <w:szCs w:val="21"/>
        </w:rPr>
      </w:pPr>
      <w:r>
        <w:rPr>
          <w:sz w:val="21"/>
          <w:szCs w:val="21"/>
        </w:rPr>
        <w:t xml:space="preserve">1 </w:t>
      </w:r>
      <w:r>
        <w:rPr>
          <w:sz w:val="21"/>
          <w:szCs w:val="21"/>
        </w:rPr>
        <w:t>适用于第一笔</w:t>
      </w:r>
      <w:r>
        <w:rPr>
          <w:sz w:val="21"/>
          <w:szCs w:val="21"/>
        </w:rPr>
        <w:t>50</w:t>
      </w:r>
      <w:r>
        <w:rPr>
          <w:sz w:val="21"/>
          <w:szCs w:val="21"/>
        </w:rPr>
        <w:t>万美元的积极企业所得</w:t>
      </w:r>
    </w:p>
    <w:p w14:paraId="6F3ACB6D" w14:textId="77777777" w:rsidR="00DD1E0B" w:rsidRDefault="00C924F2">
      <w:pPr>
        <w:spacing w:line="240" w:lineRule="auto"/>
        <w:ind w:firstLineChars="0" w:firstLine="0"/>
        <w:rPr>
          <w:sz w:val="21"/>
          <w:szCs w:val="21"/>
        </w:rPr>
      </w:pPr>
      <w:r>
        <w:rPr>
          <w:sz w:val="21"/>
          <w:szCs w:val="21"/>
        </w:rPr>
        <w:t>2</w:t>
      </w:r>
      <w:r>
        <w:rPr>
          <w:rFonts w:hint="eastAsia"/>
          <w:sz w:val="21"/>
          <w:szCs w:val="21"/>
        </w:rPr>
        <w:t>此前，财政部建议从</w:t>
      </w:r>
      <w:r>
        <w:rPr>
          <w:rFonts w:hint="eastAsia"/>
          <w:sz w:val="21"/>
          <w:szCs w:val="21"/>
        </w:rPr>
        <w:t>2018</w:t>
      </w:r>
      <w:r>
        <w:rPr>
          <w:rFonts w:hint="eastAsia"/>
          <w:sz w:val="21"/>
          <w:szCs w:val="21"/>
        </w:rPr>
        <w:t>年</w:t>
      </w:r>
      <w:r>
        <w:rPr>
          <w:rFonts w:hint="eastAsia"/>
          <w:sz w:val="21"/>
          <w:szCs w:val="21"/>
        </w:rPr>
        <w:t>1</w:t>
      </w:r>
      <w:r>
        <w:rPr>
          <w:rFonts w:hint="eastAsia"/>
          <w:sz w:val="21"/>
          <w:szCs w:val="21"/>
        </w:rPr>
        <w:t>月</w:t>
      </w:r>
      <w:r>
        <w:rPr>
          <w:rFonts w:hint="eastAsia"/>
          <w:sz w:val="21"/>
          <w:szCs w:val="21"/>
        </w:rPr>
        <w:t>1</w:t>
      </w:r>
      <w:r>
        <w:rPr>
          <w:rFonts w:hint="eastAsia"/>
          <w:sz w:val="21"/>
          <w:szCs w:val="21"/>
        </w:rPr>
        <w:t>日起将将联邦小企业利率从</w:t>
      </w:r>
      <w:r>
        <w:rPr>
          <w:rFonts w:hint="eastAsia"/>
          <w:sz w:val="21"/>
          <w:szCs w:val="21"/>
        </w:rPr>
        <w:t>10.5</w:t>
      </w:r>
      <w:r>
        <w:rPr>
          <w:rFonts w:hint="eastAsia"/>
          <w:sz w:val="21"/>
          <w:szCs w:val="21"/>
        </w:rPr>
        <w:t>％降至</w:t>
      </w:r>
      <w:r>
        <w:rPr>
          <w:rFonts w:hint="eastAsia"/>
          <w:sz w:val="21"/>
          <w:szCs w:val="21"/>
        </w:rPr>
        <w:t>10</w:t>
      </w:r>
      <w:r>
        <w:rPr>
          <w:rFonts w:hint="eastAsia"/>
          <w:sz w:val="21"/>
          <w:szCs w:val="21"/>
        </w:rPr>
        <w:t>％，但是这一变更尚未制定实质性法规。</w:t>
      </w:r>
    </w:p>
    <w:p w14:paraId="3D9AF807" w14:textId="77777777" w:rsidR="00DD1E0B" w:rsidRDefault="00C924F2">
      <w:pPr>
        <w:ind w:firstLine="480"/>
      </w:pPr>
      <w:r>
        <w:rPr>
          <w:rFonts w:hint="eastAsia"/>
        </w:rPr>
        <w:t>（</w:t>
      </w:r>
      <w:r>
        <w:rPr>
          <w:rFonts w:hint="eastAsia"/>
        </w:rPr>
        <w:t>2</w:t>
      </w:r>
      <w:r>
        <w:rPr>
          <w:rFonts w:hint="eastAsia"/>
        </w:rPr>
        <w:t>）雇主健康税和医疗服务计划保险费</w:t>
      </w:r>
    </w:p>
    <w:p w14:paraId="7D29FFE1" w14:textId="77777777" w:rsidR="00DD1E0B" w:rsidRDefault="00C924F2">
      <w:pPr>
        <w:ind w:firstLine="480"/>
      </w:pPr>
      <w:r>
        <w:rPr>
          <w:rFonts w:hint="eastAsia"/>
        </w:rPr>
        <w:t>预算法案公布</w:t>
      </w:r>
      <w:r>
        <w:rPr>
          <w:rFonts w:hint="eastAsia"/>
        </w:rPr>
        <w:t>2019</w:t>
      </w:r>
      <w:r>
        <w:rPr>
          <w:rFonts w:hint="eastAsia"/>
        </w:rPr>
        <w:t>年起征收新的雇主健康税（</w:t>
      </w:r>
      <w:r>
        <w:rPr>
          <w:rFonts w:hint="eastAsia"/>
        </w:rPr>
        <w:t>EHT</w:t>
      </w:r>
      <w:r>
        <w:rPr>
          <w:rFonts w:hint="eastAsia"/>
        </w:rPr>
        <w:t>，</w:t>
      </w:r>
      <w:r>
        <w:t>Employer Health Tax</w:t>
      </w:r>
      <w:r>
        <w:rPr>
          <w:rFonts w:hint="eastAsia"/>
        </w:rPr>
        <w:t>）。</w:t>
      </w:r>
      <w:r>
        <w:rPr>
          <w:rFonts w:hint="eastAsia"/>
        </w:rPr>
        <w:t>EHT</w:t>
      </w:r>
      <w:r>
        <w:rPr>
          <w:rFonts w:hint="eastAsia"/>
        </w:rPr>
        <w:t>旨在帮助消除医疗服务计划保费，预算法案宣布将取消该费用，且从</w:t>
      </w:r>
      <w:r>
        <w:rPr>
          <w:rFonts w:hint="eastAsia"/>
        </w:rPr>
        <w:t>2020</w:t>
      </w:r>
      <w:r>
        <w:rPr>
          <w:rFonts w:hint="eastAsia"/>
        </w:rPr>
        <w:t>年</w:t>
      </w:r>
      <w:r>
        <w:rPr>
          <w:rFonts w:hint="eastAsia"/>
        </w:rPr>
        <w:t>1</w:t>
      </w:r>
      <w:r>
        <w:rPr>
          <w:rFonts w:hint="eastAsia"/>
        </w:rPr>
        <w:t>月</w:t>
      </w:r>
      <w:r>
        <w:rPr>
          <w:rFonts w:hint="eastAsia"/>
        </w:rPr>
        <w:t>1</w:t>
      </w:r>
      <w:r>
        <w:rPr>
          <w:rFonts w:hint="eastAsia"/>
        </w:rPr>
        <w:t>日起生效。不列颠哥伦比亚省决定先将医疗服务计划保费减半，自</w:t>
      </w:r>
      <w:r>
        <w:rPr>
          <w:rFonts w:hint="eastAsia"/>
        </w:rPr>
        <w:t>2018</w:t>
      </w:r>
      <w:r>
        <w:rPr>
          <w:rFonts w:hint="eastAsia"/>
        </w:rPr>
        <w:t>年</w:t>
      </w:r>
      <w:r>
        <w:rPr>
          <w:rFonts w:hint="eastAsia"/>
        </w:rPr>
        <w:t>1</w:t>
      </w:r>
      <w:r>
        <w:rPr>
          <w:rFonts w:hint="eastAsia"/>
        </w:rPr>
        <w:t>月</w:t>
      </w:r>
      <w:r>
        <w:rPr>
          <w:rFonts w:hint="eastAsia"/>
        </w:rPr>
        <w:t>1</w:t>
      </w:r>
      <w:r>
        <w:rPr>
          <w:rFonts w:hint="eastAsia"/>
        </w:rPr>
        <w:t>日起生效。</w:t>
      </w:r>
      <w:r>
        <w:rPr>
          <w:rFonts w:hint="eastAsia"/>
        </w:rPr>
        <w:t>EHT</w:t>
      </w:r>
      <w:r>
        <w:rPr>
          <w:rFonts w:hint="eastAsia"/>
        </w:rPr>
        <w:t>将按工资计算的百分比计算如下：</w:t>
      </w:r>
    </w:p>
    <w:tbl>
      <w:tblPr>
        <w:tblStyle w:val="afa"/>
        <w:tblW w:w="8296" w:type="dxa"/>
        <w:tblLayout w:type="fixed"/>
        <w:tblLook w:val="04A0" w:firstRow="1" w:lastRow="0" w:firstColumn="1" w:lastColumn="0" w:noHBand="0" w:noVBand="1"/>
      </w:tblPr>
      <w:tblGrid>
        <w:gridCol w:w="2972"/>
        <w:gridCol w:w="2693"/>
        <w:gridCol w:w="2631"/>
      </w:tblGrid>
      <w:tr w:rsidR="00DD1E0B" w14:paraId="43541204" w14:textId="77777777">
        <w:tc>
          <w:tcPr>
            <w:tcW w:w="2972" w:type="dxa"/>
            <w:shd w:val="clear" w:color="auto" w:fill="BFBFBF" w:themeFill="background1" w:themeFillShade="BF"/>
          </w:tcPr>
          <w:p w14:paraId="4F4A44B0" w14:textId="77777777" w:rsidR="00DD1E0B" w:rsidRDefault="00C924F2">
            <w:pPr>
              <w:ind w:firstLineChars="0" w:firstLine="0"/>
              <w:jc w:val="center"/>
              <w:rPr>
                <w:rFonts w:eastAsiaTheme="minorEastAsia" w:cs="Times New Roman"/>
                <w:b/>
                <w:sz w:val="21"/>
                <w:szCs w:val="24"/>
              </w:rPr>
            </w:pPr>
            <w:r>
              <w:rPr>
                <w:rFonts w:eastAsiaTheme="minorEastAsia" w:cs="Times New Roman" w:hint="eastAsia"/>
                <w:b/>
                <w:sz w:val="21"/>
                <w:szCs w:val="24"/>
              </w:rPr>
              <w:t>B</w:t>
            </w:r>
            <w:r>
              <w:rPr>
                <w:rFonts w:eastAsiaTheme="minorEastAsia" w:cs="Times New Roman"/>
                <w:b/>
                <w:sz w:val="21"/>
                <w:szCs w:val="24"/>
              </w:rPr>
              <w:t>.</w:t>
            </w:r>
            <w:r>
              <w:rPr>
                <w:rFonts w:eastAsiaTheme="minorEastAsia" w:cs="Times New Roman" w:hint="eastAsia"/>
                <w:b/>
                <w:sz w:val="21"/>
                <w:szCs w:val="24"/>
              </w:rPr>
              <w:t>C</w:t>
            </w:r>
            <w:r>
              <w:rPr>
                <w:rFonts w:eastAsiaTheme="minorEastAsia" w:cs="Times New Roman" w:hint="eastAsia"/>
                <w:b/>
                <w:sz w:val="21"/>
                <w:szCs w:val="24"/>
              </w:rPr>
              <w:t>省企业年度工薪支出</w:t>
            </w:r>
          </w:p>
        </w:tc>
        <w:tc>
          <w:tcPr>
            <w:tcW w:w="2693" w:type="dxa"/>
            <w:shd w:val="clear" w:color="auto" w:fill="BFBFBF" w:themeFill="background1" w:themeFillShade="BF"/>
          </w:tcPr>
          <w:p w14:paraId="6F39E7C8" w14:textId="77777777" w:rsidR="00DD1E0B" w:rsidRDefault="00C924F2">
            <w:pPr>
              <w:ind w:firstLineChars="0" w:firstLine="0"/>
              <w:jc w:val="center"/>
              <w:rPr>
                <w:rFonts w:eastAsiaTheme="minorEastAsia" w:cs="Times New Roman"/>
                <w:b/>
                <w:sz w:val="21"/>
                <w:szCs w:val="24"/>
              </w:rPr>
            </w:pPr>
            <w:r>
              <w:rPr>
                <w:rFonts w:eastAsiaTheme="minorEastAsia" w:cs="Times New Roman" w:hint="eastAsia"/>
                <w:b/>
                <w:sz w:val="21"/>
                <w:szCs w:val="24"/>
              </w:rPr>
              <w:t>年度税收支出</w:t>
            </w:r>
          </w:p>
        </w:tc>
        <w:tc>
          <w:tcPr>
            <w:tcW w:w="2631" w:type="dxa"/>
            <w:shd w:val="clear" w:color="auto" w:fill="BFBFBF" w:themeFill="background1" w:themeFillShade="BF"/>
          </w:tcPr>
          <w:p w14:paraId="1B7DC750" w14:textId="77777777" w:rsidR="00DD1E0B" w:rsidRDefault="00C924F2">
            <w:pPr>
              <w:ind w:firstLineChars="0" w:firstLine="0"/>
              <w:jc w:val="center"/>
              <w:rPr>
                <w:rFonts w:eastAsiaTheme="minorEastAsia" w:cs="Times New Roman"/>
                <w:b/>
                <w:sz w:val="21"/>
                <w:szCs w:val="24"/>
              </w:rPr>
            </w:pPr>
            <w:r>
              <w:rPr>
                <w:rFonts w:eastAsiaTheme="minorEastAsia" w:cs="Times New Roman" w:hint="eastAsia"/>
                <w:b/>
                <w:sz w:val="21"/>
                <w:szCs w:val="24"/>
              </w:rPr>
              <w:t>税收占工资总额的百分比</w:t>
            </w:r>
          </w:p>
        </w:tc>
      </w:tr>
      <w:tr w:rsidR="00DD1E0B" w14:paraId="4CD5930F" w14:textId="77777777">
        <w:tc>
          <w:tcPr>
            <w:tcW w:w="2972" w:type="dxa"/>
            <w:vAlign w:val="center"/>
          </w:tcPr>
          <w:p w14:paraId="0B440803" w14:textId="77777777" w:rsidR="00DD1E0B" w:rsidRDefault="00C924F2">
            <w:pPr>
              <w:ind w:firstLineChars="0" w:firstLine="0"/>
              <w:jc w:val="center"/>
              <w:rPr>
                <w:rFonts w:eastAsiaTheme="minorEastAsia" w:cs="Times New Roman"/>
                <w:sz w:val="21"/>
                <w:szCs w:val="24"/>
              </w:rPr>
            </w:pPr>
            <w:r>
              <w:rPr>
                <w:rFonts w:eastAsiaTheme="minorEastAsia" w:cs="Times New Roman" w:hint="eastAsia"/>
                <w:sz w:val="21"/>
                <w:szCs w:val="24"/>
              </w:rPr>
              <w:t>50</w:t>
            </w:r>
            <w:r>
              <w:rPr>
                <w:rFonts w:eastAsiaTheme="minorEastAsia" w:cs="Times New Roman" w:hint="eastAsia"/>
                <w:sz w:val="21"/>
                <w:szCs w:val="24"/>
              </w:rPr>
              <w:t>万美元及以下</w:t>
            </w:r>
          </w:p>
        </w:tc>
        <w:tc>
          <w:tcPr>
            <w:tcW w:w="2693" w:type="dxa"/>
            <w:vAlign w:val="center"/>
          </w:tcPr>
          <w:p w14:paraId="4BF4056D" w14:textId="77777777" w:rsidR="00DD1E0B" w:rsidRDefault="00C924F2">
            <w:pPr>
              <w:ind w:firstLineChars="0" w:firstLine="0"/>
              <w:jc w:val="center"/>
              <w:rPr>
                <w:rFonts w:eastAsiaTheme="minorEastAsia" w:cs="Times New Roman"/>
                <w:sz w:val="21"/>
                <w:szCs w:val="24"/>
              </w:rPr>
            </w:pPr>
            <w:r>
              <w:rPr>
                <w:rFonts w:eastAsiaTheme="minorEastAsia" w:cs="Times New Roman" w:hint="eastAsia"/>
                <w:sz w:val="21"/>
                <w:szCs w:val="24"/>
              </w:rPr>
              <w:t>0</w:t>
            </w:r>
          </w:p>
        </w:tc>
        <w:tc>
          <w:tcPr>
            <w:tcW w:w="2631" w:type="dxa"/>
            <w:vAlign w:val="center"/>
          </w:tcPr>
          <w:p w14:paraId="6B80F21F" w14:textId="77777777" w:rsidR="00DD1E0B" w:rsidRDefault="00C924F2">
            <w:pPr>
              <w:ind w:firstLineChars="0" w:firstLine="0"/>
              <w:jc w:val="center"/>
              <w:rPr>
                <w:rFonts w:eastAsiaTheme="minorEastAsia" w:cs="Times New Roman"/>
                <w:sz w:val="21"/>
                <w:szCs w:val="24"/>
              </w:rPr>
            </w:pPr>
            <w:r>
              <w:rPr>
                <w:rFonts w:eastAsiaTheme="minorEastAsia" w:cs="Times New Roman"/>
                <w:sz w:val="21"/>
                <w:szCs w:val="24"/>
              </w:rPr>
              <w:t>0</w:t>
            </w:r>
            <w:r>
              <w:rPr>
                <w:rFonts w:eastAsiaTheme="minorEastAsia" w:cs="Times New Roman" w:hint="eastAsia"/>
                <w:sz w:val="21"/>
                <w:szCs w:val="24"/>
              </w:rPr>
              <w:t>.00%</w:t>
            </w:r>
          </w:p>
        </w:tc>
      </w:tr>
      <w:tr w:rsidR="00DD1E0B" w14:paraId="5B3C01C3" w14:textId="77777777">
        <w:tc>
          <w:tcPr>
            <w:tcW w:w="2972" w:type="dxa"/>
            <w:vAlign w:val="center"/>
          </w:tcPr>
          <w:p w14:paraId="387793C5" w14:textId="77777777" w:rsidR="00DD1E0B" w:rsidRDefault="00C924F2">
            <w:pPr>
              <w:ind w:firstLineChars="0" w:firstLine="0"/>
              <w:jc w:val="center"/>
              <w:rPr>
                <w:rFonts w:eastAsiaTheme="minorEastAsia" w:cs="Times New Roman"/>
                <w:sz w:val="21"/>
                <w:szCs w:val="24"/>
              </w:rPr>
            </w:pPr>
            <w:r>
              <w:rPr>
                <w:rFonts w:eastAsiaTheme="minorEastAsia" w:cs="Times New Roman" w:hint="eastAsia"/>
                <w:sz w:val="21"/>
                <w:szCs w:val="24"/>
              </w:rPr>
              <w:lastRenderedPageBreak/>
              <w:t>75</w:t>
            </w:r>
            <w:r>
              <w:rPr>
                <w:rFonts w:eastAsiaTheme="minorEastAsia" w:cs="Times New Roman" w:hint="eastAsia"/>
                <w:sz w:val="21"/>
                <w:szCs w:val="24"/>
              </w:rPr>
              <w:t>万美元</w:t>
            </w:r>
          </w:p>
        </w:tc>
        <w:tc>
          <w:tcPr>
            <w:tcW w:w="2693" w:type="dxa"/>
            <w:vAlign w:val="center"/>
          </w:tcPr>
          <w:p w14:paraId="5E6CC6EE" w14:textId="77777777" w:rsidR="00DD1E0B" w:rsidRDefault="00C924F2">
            <w:pPr>
              <w:ind w:firstLineChars="0" w:firstLine="0"/>
              <w:jc w:val="center"/>
              <w:rPr>
                <w:rFonts w:eastAsiaTheme="minorEastAsia" w:cs="Times New Roman"/>
                <w:sz w:val="21"/>
                <w:szCs w:val="24"/>
              </w:rPr>
            </w:pPr>
            <w:r>
              <w:rPr>
                <w:rFonts w:eastAsiaTheme="minorEastAsia" w:cs="Times New Roman" w:hint="eastAsia"/>
                <w:sz w:val="21"/>
                <w:szCs w:val="24"/>
              </w:rPr>
              <w:t>7313</w:t>
            </w:r>
            <w:r>
              <w:rPr>
                <w:rFonts w:eastAsiaTheme="minorEastAsia" w:cs="Times New Roman" w:hint="eastAsia"/>
                <w:sz w:val="21"/>
                <w:szCs w:val="24"/>
              </w:rPr>
              <w:t>美元</w:t>
            </w:r>
          </w:p>
        </w:tc>
        <w:tc>
          <w:tcPr>
            <w:tcW w:w="2631" w:type="dxa"/>
            <w:vAlign w:val="center"/>
          </w:tcPr>
          <w:p w14:paraId="0E18748D" w14:textId="77777777" w:rsidR="00DD1E0B" w:rsidRDefault="00C924F2">
            <w:pPr>
              <w:ind w:firstLineChars="0" w:firstLine="0"/>
              <w:jc w:val="center"/>
              <w:rPr>
                <w:rFonts w:eastAsiaTheme="minorEastAsia" w:cs="Times New Roman"/>
                <w:sz w:val="21"/>
                <w:szCs w:val="24"/>
              </w:rPr>
            </w:pPr>
            <w:r>
              <w:rPr>
                <w:rFonts w:eastAsiaTheme="minorEastAsia" w:cs="Times New Roman" w:hint="eastAsia"/>
                <w:sz w:val="21"/>
                <w:szCs w:val="24"/>
              </w:rPr>
              <w:t>0.98%</w:t>
            </w:r>
          </w:p>
        </w:tc>
      </w:tr>
      <w:tr w:rsidR="00DD1E0B" w14:paraId="1740297C" w14:textId="77777777">
        <w:tc>
          <w:tcPr>
            <w:tcW w:w="2972" w:type="dxa"/>
            <w:vAlign w:val="center"/>
          </w:tcPr>
          <w:p w14:paraId="281C8D0D" w14:textId="77777777" w:rsidR="00DD1E0B" w:rsidRDefault="00C924F2">
            <w:pPr>
              <w:ind w:firstLineChars="0" w:firstLine="0"/>
              <w:jc w:val="center"/>
              <w:rPr>
                <w:rFonts w:eastAsiaTheme="minorEastAsia" w:cs="Times New Roman"/>
                <w:sz w:val="21"/>
                <w:szCs w:val="24"/>
              </w:rPr>
            </w:pPr>
            <w:r>
              <w:rPr>
                <w:rFonts w:eastAsiaTheme="minorEastAsia" w:cs="Times New Roman" w:hint="eastAsia"/>
                <w:sz w:val="21"/>
                <w:szCs w:val="24"/>
              </w:rPr>
              <w:t>100</w:t>
            </w:r>
            <w:r>
              <w:rPr>
                <w:rFonts w:eastAsiaTheme="minorEastAsia" w:cs="Times New Roman" w:hint="eastAsia"/>
                <w:sz w:val="21"/>
                <w:szCs w:val="24"/>
              </w:rPr>
              <w:t>万美元</w:t>
            </w:r>
          </w:p>
        </w:tc>
        <w:tc>
          <w:tcPr>
            <w:tcW w:w="2693" w:type="dxa"/>
            <w:vAlign w:val="center"/>
          </w:tcPr>
          <w:p w14:paraId="6A5C052F" w14:textId="77777777" w:rsidR="00DD1E0B" w:rsidRDefault="00C924F2">
            <w:pPr>
              <w:ind w:firstLineChars="0" w:firstLine="0"/>
              <w:jc w:val="center"/>
              <w:rPr>
                <w:rFonts w:eastAsiaTheme="minorEastAsia" w:cs="Times New Roman"/>
                <w:sz w:val="21"/>
                <w:szCs w:val="24"/>
              </w:rPr>
            </w:pPr>
            <w:r>
              <w:rPr>
                <w:rFonts w:eastAsiaTheme="minorEastAsia" w:cs="Times New Roman" w:hint="eastAsia"/>
                <w:sz w:val="21"/>
                <w:szCs w:val="24"/>
              </w:rPr>
              <w:t>14625</w:t>
            </w:r>
            <w:r>
              <w:rPr>
                <w:rFonts w:eastAsiaTheme="minorEastAsia" w:cs="Times New Roman" w:hint="eastAsia"/>
                <w:sz w:val="21"/>
                <w:szCs w:val="24"/>
              </w:rPr>
              <w:t>美元</w:t>
            </w:r>
          </w:p>
        </w:tc>
        <w:tc>
          <w:tcPr>
            <w:tcW w:w="2631" w:type="dxa"/>
            <w:vAlign w:val="center"/>
          </w:tcPr>
          <w:p w14:paraId="673FD7A1" w14:textId="77777777" w:rsidR="00DD1E0B" w:rsidRDefault="00C924F2">
            <w:pPr>
              <w:ind w:firstLineChars="0" w:firstLine="0"/>
              <w:jc w:val="center"/>
              <w:rPr>
                <w:rFonts w:eastAsiaTheme="minorEastAsia" w:cs="Times New Roman"/>
                <w:sz w:val="21"/>
                <w:szCs w:val="24"/>
              </w:rPr>
            </w:pPr>
            <w:r>
              <w:rPr>
                <w:rFonts w:eastAsiaTheme="minorEastAsia" w:cs="Times New Roman" w:hint="eastAsia"/>
                <w:sz w:val="21"/>
                <w:szCs w:val="24"/>
              </w:rPr>
              <w:t>1.46%</w:t>
            </w:r>
          </w:p>
        </w:tc>
      </w:tr>
      <w:tr w:rsidR="00DD1E0B" w14:paraId="0FBCD28A" w14:textId="77777777">
        <w:tc>
          <w:tcPr>
            <w:tcW w:w="2972" w:type="dxa"/>
            <w:vAlign w:val="center"/>
          </w:tcPr>
          <w:p w14:paraId="13844667" w14:textId="77777777" w:rsidR="00DD1E0B" w:rsidRDefault="00C924F2">
            <w:pPr>
              <w:ind w:firstLineChars="0" w:firstLine="0"/>
              <w:jc w:val="center"/>
              <w:rPr>
                <w:rFonts w:eastAsiaTheme="minorEastAsia" w:cs="Times New Roman"/>
                <w:sz w:val="21"/>
                <w:szCs w:val="24"/>
              </w:rPr>
            </w:pPr>
            <w:r>
              <w:rPr>
                <w:rFonts w:eastAsiaTheme="minorEastAsia" w:cs="Times New Roman" w:hint="eastAsia"/>
                <w:sz w:val="21"/>
                <w:szCs w:val="24"/>
              </w:rPr>
              <w:t>1</w:t>
            </w:r>
            <w:r>
              <w:rPr>
                <w:rFonts w:eastAsiaTheme="minorEastAsia" w:cs="Times New Roman"/>
                <w:sz w:val="21"/>
                <w:szCs w:val="24"/>
              </w:rPr>
              <w:t>25</w:t>
            </w:r>
            <w:r>
              <w:rPr>
                <w:rFonts w:eastAsiaTheme="minorEastAsia" w:cs="Times New Roman" w:hint="eastAsia"/>
                <w:sz w:val="21"/>
                <w:szCs w:val="24"/>
              </w:rPr>
              <w:t>万美元</w:t>
            </w:r>
          </w:p>
        </w:tc>
        <w:tc>
          <w:tcPr>
            <w:tcW w:w="2693" w:type="dxa"/>
            <w:vAlign w:val="center"/>
          </w:tcPr>
          <w:p w14:paraId="548D946A" w14:textId="77777777" w:rsidR="00DD1E0B" w:rsidRDefault="00C924F2">
            <w:pPr>
              <w:ind w:firstLineChars="0" w:firstLine="0"/>
              <w:jc w:val="center"/>
              <w:rPr>
                <w:rFonts w:eastAsiaTheme="minorEastAsia" w:cs="Times New Roman"/>
                <w:sz w:val="21"/>
                <w:szCs w:val="24"/>
              </w:rPr>
            </w:pPr>
            <w:r>
              <w:rPr>
                <w:rFonts w:eastAsiaTheme="minorEastAsia" w:cs="Times New Roman" w:hint="eastAsia"/>
                <w:sz w:val="21"/>
                <w:szCs w:val="24"/>
              </w:rPr>
              <w:t>21938</w:t>
            </w:r>
            <w:r>
              <w:rPr>
                <w:rFonts w:eastAsiaTheme="minorEastAsia" w:cs="Times New Roman" w:hint="eastAsia"/>
                <w:sz w:val="21"/>
                <w:szCs w:val="24"/>
              </w:rPr>
              <w:t>美元</w:t>
            </w:r>
          </w:p>
        </w:tc>
        <w:tc>
          <w:tcPr>
            <w:tcW w:w="2631" w:type="dxa"/>
            <w:vAlign w:val="center"/>
          </w:tcPr>
          <w:p w14:paraId="56838CC9" w14:textId="77777777" w:rsidR="00DD1E0B" w:rsidRDefault="00C924F2">
            <w:pPr>
              <w:ind w:firstLineChars="0" w:firstLine="0"/>
              <w:jc w:val="center"/>
              <w:rPr>
                <w:rFonts w:eastAsiaTheme="minorEastAsia" w:cs="Times New Roman"/>
                <w:sz w:val="21"/>
                <w:szCs w:val="24"/>
              </w:rPr>
            </w:pPr>
            <w:r>
              <w:rPr>
                <w:rFonts w:eastAsiaTheme="minorEastAsia" w:cs="Times New Roman" w:hint="eastAsia"/>
                <w:sz w:val="21"/>
                <w:szCs w:val="24"/>
              </w:rPr>
              <w:t>1.76%</w:t>
            </w:r>
          </w:p>
        </w:tc>
      </w:tr>
      <w:tr w:rsidR="00DD1E0B" w14:paraId="4F2885DE" w14:textId="77777777">
        <w:tc>
          <w:tcPr>
            <w:tcW w:w="2972" w:type="dxa"/>
            <w:vAlign w:val="center"/>
          </w:tcPr>
          <w:p w14:paraId="59E5B19A" w14:textId="77777777" w:rsidR="00DD1E0B" w:rsidRDefault="00C924F2">
            <w:pPr>
              <w:ind w:firstLineChars="0" w:firstLine="0"/>
              <w:jc w:val="center"/>
              <w:rPr>
                <w:rFonts w:eastAsiaTheme="minorEastAsia" w:cs="Times New Roman"/>
                <w:sz w:val="21"/>
                <w:szCs w:val="24"/>
              </w:rPr>
            </w:pPr>
            <w:r>
              <w:rPr>
                <w:rFonts w:eastAsiaTheme="minorEastAsia" w:cs="Times New Roman" w:hint="eastAsia"/>
                <w:sz w:val="21"/>
                <w:szCs w:val="24"/>
              </w:rPr>
              <w:t>1</w:t>
            </w:r>
            <w:r>
              <w:rPr>
                <w:rFonts w:eastAsiaTheme="minorEastAsia" w:cs="Times New Roman"/>
                <w:sz w:val="21"/>
                <w:szCs w:val="24"/>
              </w:rPr>
              <w:t>50</w:t>
            </w:r>
            <w:r>
              <w:rPr>
                <w:rFonts w:eastAsiaTheme="minorEastAsia" w:cs="Times New Roman" w:hint="eastAsia"/>
                <w:sz w:val="21"/>
                <w:szCs w:val="24"/>
              </w:rPr>
              <w:t>万美元</w:t>
            </w:r>
          </w:p>
        </w:tc>
        <w:tc>
          <w:tcPr>
            <w:tcW w:w="2693" w:type="dxa"/>
            <w:vAlign w:val="center"/>
          </w:tcPr>
          <w:p w14:paraId="5BDB46FF" w14:textId="77777777" w:rsidR="00DD1E0B" w:rsidRDefault="00C924F2">
            <w:pPr>
              <w:ind w:firstLineChars="0" w:firstLine="0"/>
              <w:jc w:val="center"/>
              <w:rPr>
                <w:rFonts w:eastAsiaTheme="minorEastAsia" w:cs="Times New Roman"/>
                <w:sz w:val="21"/>
                <w:szCs w:val="24"/>
              </w:rPr>
            </w:pPr>
            <w:r>
              <w:rPr>
                <w:rFonts w:eastAsiaTheme="minorEastAsia" w:cs="Times New Roman" w:hint="eastAsia"/>
                <w:sz w:val="21"/>
                <w:szCs w:val="24"/>
              </w:rPr>
              <w:t>29250</w:t>
            </w:r>
            <w:r>
              <w:rPr>
                <w:rFonts w:eastAsiaTheme="minorEastAsia" w:cs="Times New Roman" w:hint="eastAsia"/>
                <w:sz w:val="21"/>
                <w:szCs w:val="24"/>
              </w:rPr>
              <w:t>美元</w:t>
            </w:r>
          </w:p>
        </w:tc>
        <w:tc>
          <w:tcPr>
            <w:tcW w:w="2631" w:type="dxa"/>
            <w:vAlign w:val="center"/>
          </w:tcPr>
          <w:p w14:paraId="063F8D9D" w14:textId="77777777" w:rsidR="00DD1E0B" w:rsidRDefault="00C924F2">
            <w:pPr>
              <w:ind w:firstLineChars="0" w:firstLine="0"/>
              <w:jc w:val="center"/>
              <w:rPr>
                <w:rFonts w:eastAsiaTheme="minorEastAsia" w:cs="Times New Roman"/>
                <w:sz w:val="21"/>
                <w:szCs w:val="24"/>
              </w:rPr>
            </w:pPr>
            <w:r>
              <w:rPr>
                <w:rFonts w:eastAsiaTheme="minorEastAsia" w:cs="Times New Roman" w:hint="eastAsia"/>
                <w:sz w:val="21"/>
                <w:szCs w:val="24"/>
              </w:rPr>
              <w:t>1.95%</w:t>
            </w:r>
          </w:p>
        </w:tc>
      </w:tr>
      <w:tr w:rsidR="00DD1E0B" w14:paraId="58A26F0D" w14:textId="77777777">
        <w:trPr>
          <w:trHeight w:val="841"/>
        </w:trPr>
        <w:tc>
          <w:tcPr>
            <w:tcW w:w="2972" w:type="dxa"/>
            <w:vAlign w:val="center"/>
          </w:tcPr>
          <w:p w14:paraId="60A47A93" w14:textId="77777777" w:rsidR="00DD1E0B" w:rsidRDefault="00C924F2">
            <w:pPr>
              <w:ind w:firstLineChars="0" w:firstLine="0"/>
              <w:jc w:val="center"/>
              <w:rPr>
                <w:rFonts w:eastAsiaTheme="minorEastAsia" w:cs="Times New Roman"/>
                <w:sz w:val="21"/>
                <w:szCs w:val="24"/>
              </w:rPr>
            </w:pPr>
            <w:r>
              <w:rPr>
                <w:rFonts w:eastAsiaTheme="minorEastAsia" w:cs="Times New Roman" w:hint="eastAsia"/>
                <w:sz w:val="21"/>
                <w:szCs w:val="24"/>
              </w:rPr>
              <w:t>1</w:t>
            </w:r>
            <w:r>
              <w:rPr>
                <w:rFonts w:eastAsiaTheme="minorEastAsia" w:cs="Times New Roman"/>
                <w:sz w:val="21"/>
                <w:szCs w:val="24"/>
              </w:rPr>
              <w:t>50</w:t>
            </w:r>
            <w:r>
              <w:rPr>
                <w:rFonts w:eastAsiaTheme="minorEastAsia" w:cs="Times New Roman" w:hint="eastAsia"/>
                <w:sz w:val="21"/>
                <w:szCs w:val="24"/>
              </w:rPr>
              <w:t>万美元以上</w:t>
            </w:r>
          </w:p>
        </w:tc>
        <w:tc>
          <w:tcPr>
            <w:tcW w:w="2693" w:type="dxa"/>
            <w:vAlign w:val="center"/>
          </w:tcPr>
          <w:p w14:paraId="20FF4CF2" w14:textId="77777777" w:rsidR="00DD1E0B" w:rsidRDefault="00C924F2">
            <w:pPr>
              <w:ind w:firstLineChars="0" w:firstLine="0"/>
              <w:jc w:val="center"/>
              <w:rPr>
                <w:rFonts w:eastAsiaTheme="minorEastAsia" w:cs="Times New Roman"/>
                <w:sz w:val="21"/>
                <w:szCs w:val="24"/>
              </w:rPr>
            </w:pPr>
            <w:r>
              <w:rPr>
                <w:rFonts w:eastAsiaTheme="minorEastAsia" w:cs="Times New Roman" w:hint="eastAsia"/>
                <w:sz w:val="21"/>
                <w:szCs w:val="24"/>
              </w:rPr>
              <w:t>29250</w:t>
            </w:r>
            <w:r>
              <w:rPr>
                <w:rFonts w:eastAsiaTheme="minorEastAsia" w:cs="Times New Roman" w:hint="eastAsia"/>
                <w:sz w:val="21"/>
                <w:szCs w:val="24"/>
              </w:rPr>
              <w:t>美元</w:t>
            </w:r>
            <w:r>
              <w:rPr>
                <w:rFonts w:eastAsiaTheme="minorEastAsia" w:cs="Times New Roman" w:hint="eastAsia"/>
                <w:sz w:val="21"/>
                <w:szCs w:val="24"/>
              </w:rPr>
              <w:t>+</w:t>
            </w:r>
            <w:r>
              <w:rPr>
                <w:rFonts w:eastAsiaTheme="minorEastAsia" w:cs="Times New Roman" w:hint="eastAsia"/>
                <w:sz w:val="21"/>
                <w:szCs w:val="24"/>
              </w:rPr>
              <w:t>加</w:t>
            </w:r>
            <w:r>
              <w:rPr>
                <w:rFonts w:eastAsiaTheme="minorEastAsia" w:cs="Times New Roman" w:hint="eastAsia"/>
                <w:sz w:val="21"/>
                <w:szCs w:val="24"/>
              </w:rPr>
              <w:t>150</w:t>
            </w:r>
            <w:r>
              <w:rPr>
                <w:rFonts w:eastAsiaTheme="minorEastAsia" w:cs="Times New Roman" w:hint="eastAsia"/>
                <w:sz w:val="21"/>
                <w:szCs w:val="24"/>
              </w:rPr>
              <w:t>万美元以上部分工资的</w:t>
            </w:r>
            <w:r>
              <w:rPr>
                <w:rFonts w:eastAsiaTheme="minorEastAsia" w:cs="Times New Roman" w:hint="eastAsia"/>
                <w:sz w:val="21"/>
                <w:szCs w:val="24"/>
              </w:rPr>
              <w:t>1.95</w:t>
            </w:r>
            <w:r>
              <w:rPr>
                <w:rFonts w:eastAsiaTheme="minorEastAsia" w:cs="Times New Roman" w:hint="eastAsia"/>
                <w:sz w:val="21"/>
                <w:szCs w:val="24"/>
              </w:rPr>
              <w:t>％</w:t>
            </w:r>
          </w:p>
        </w:tc>
        <w:tc>
          <w:tcPr>
            <w:tcW w:w="2631" w:type="dxa"/>
            <w:vAlign w:val="center"/>
          </w:tcPr>
          <w:p w14:paraId="7D3796D5" w14:textId="77777777" w:rsidR="00DD1E0B" w:rsidRDefault="00C924F2">
            <w:pPr>
              <w:ind w:firstLineChars="0" w:firstLine="0"/>
              <w:jc w:val="center"/>
              <w:rPr>
                <w:rFonts w:eastAsiaTheme="minorEastAsia" w:cs="Times New Roman"/>
                <w:sz w:val="21"/>
                <w:szCs w:val="24"/>
              </w:rPr>
            </w:pPr>
            <w:r>
              <w:rPr>
                <w:rFonts w:eastAsiaTheme="minorEastAsia" w:cs="Times New Roman" w:hint="eastAsia"/>
                <w:sz w:val="21"/>
                <w:szCs w:val="24"/>
              </w:rPr>
              <w:t>1.95%</w:t>
            </w:r>
          </w:p>
        </w:tc>
      </w:tr>
    </w:tbl>
    <w:p w14:paraId="6A8B215C" w14:textId="77777777" w:rsidR="00DD1E0B" w:rsidRDefault="00C924F2">
      <w:pPr>
        <w:ind w:firstLine="480"/>
      </w:pPr>
      <w:r>
        <w:rPr>
          <w:rFonts w:hint="eastAsia"/>
        </w:rPr>
        <w:t>预算没有提供关于分期付款频率的细节以及如何在相关业务中汇总和计算工资单。但是，不列颠哥伦比亚省政府表示，在实施这项改革之前，它会提供更多细节。</w:t>
      </w:r>
    </w:p>
    <w:p w14:paraId="768BA5E1" w14:textId="77777777" w:rsidR="00DD1E0B" w:rsidRDefault="00C924F2">
      <w:pPr>
        <w:ind w:firstLine="480"/>
      </w:pPr>
      <w:r>
        <w:rPr>
          <w:rFonts w:hint="eastAsia"/>
        </w:rPr>
        <w:t>（</w:t>
      </w:r>
      <w:r>
        <w:rPr>
          <w:rFonts w:hint="eastAsia"/>
        </w:rPr>
        <w:t>3</w:t>
      </w:r>
      <w:r>
        <w:rPr>
          <w:rFonts w:hint="eastAsia"/>
        </w:rPr>
        <w:t>）其他企业税收抵免变化</w:t>
      </w:r>
    </w:p>
    <w:p w14:paraId="6667924F" w14:textId="77777777" w:rsidR="00DD1E0B" w:rsidRDefault="00C924F2">
      <w:pPr>
        <w:ind w:firstLine="480"/>
      </w:pPr>
      <w:r>
        <w:rPr>
          <w:rFonts w:hint="eastAsia"/>
        </w:rPr>
        <w:t>预算宣布企业税收抵免的变化，包括采取以下措施：</w:t>
      </w:r>
    </w:p>
    <w:p w14:paraId="2E64DE5B" w14:textId="77777777" w:rsidR="00DD1E0B" w:rsidRDefault="00C924F2">
      <w:pPr>
        <w:pStyle w:val="afd"/>
        <w:numPr>
          <w:ilvl w:val="0"/>
          <w:numId w:val="5"/>
        </w:numPr>
        <w:ind w:left="426" w:firstLineChars="0"/>
      </w:pPr>
      <w:r>
        <w:rPr>
          <w:rFonts w:hint="eastAsia"/>
        </w:rPr>
        <w:t>延长互动数字媒体税收抵免五年，至</w:t>
      </w:r>
      <w:r>
        <w:rPr>
          <w:rFonts w:hint="eastAsia"/>
        </w:rPr>
        <w:t>2023</w:t>
      </w:r>
      <w:r>
        <w:rPr>
          <w:rFonts w:hint="eastAsia"/>
        </w:rPr>
        <w:t>年</w:t>
      </w:r>
      <w:r>
        <w:rPr>
          <w:rFonts w:hint="eastAsia"/>
        </w:rPr>
        <w:t>8</w:t>
      </w:r>
      <w:r>
        <w:rPr>
          <w:rFonts w:hint="eastAsia"/>
        </w:rPr>
        <w:t>月</w:t>
      </w:r>
      <w:r>
        <w:rPr>
          <w:rFonts w:hint="eastAsia"/>
        </w:rPr>
        <w:t>31</w:t>
      </w:r>
      <w:r>
        <w:rPr>
          <w:rFonts w:hint="eastAsia"/>
        </w:rPr>
        <w:t>日；</w:t>
      </w:r>
    </w:p>
    <w:p w14:paraId="6EB313FC" w14:textId="77777777" w:rsidR="00DD1E0B" w:rsidRDefault="00C924F2">
      <w:pPr>
        <w:pStyle w:val="afd"/>
        <w:numPr>
          <w:ilvl w:val="0"/>
          <w:numId w:val="5"/>
        </w:numPr>
        <w:ind w:left="426" w:firstLineChars="0"/>
      </w:pPr>
      <w:r>
        <w:rPr>
          <w:rFonts w:hint="eastAsia"/>
        </w:rPr>
        <w:t>将图书出版税抵免延长至</w:t>
      </w:r>
      <w:r>
        <w:rPr>
          <w:rFonts w:hint="eastAsia"/>
        </w:rPr>
        <w:t>2021</w:t>
      </w:r>
      <w:r>
        <w:rPr>
          <w:rFonts w:hint="eastAsia"/>
        </w:rPr>
        <w:t>年</w:t>
      </w:r>
      <w:r>
        <w:rPr>
          <w:rFonts w:hint="eastAsia"/>
        </w:rPr>
        <w:t>3</w:t>
      </w:r>
      <w:r>
        <w:rPr>
          <w:rFonts w:hint="eastAsia"/>
        </w:rPr>
        <w:t>月</w:t>
      </w:r>
      <w:r>
        <w:rPr>
          <w:rFonts w:hint="eastAsia"/>
        </w:rPr>
        <w:t>31</w:t>
      </w:r>
      <w:r>
        <w:rPr>
          <w:rFonts w:hint="eastAsia"/>
        </w:rPr>
        <w:t>日；</w:t>
      </w:r>
    </w:p>
    <w:p w14:paraId="67129CF6" w14:textId="77777777" w:rsidR="00DD1E0B" w:rsidRDefault="00C924F2">
      <w:pPr>
        <w:pStyle w:val="afd"/>
        <w:numPr>
          <w:ilvl w:val="0"/>
          <w:numId w:val="5"/>
        </w:numPr>
        <w:ind w:left="426" w:firstLineChars="0"/>
      </w:pPr>
      <w:r>
        <w:rPr>
          <w:rFonts w:hint="eastAsia"/>
        </w:rPr>
        <w:t>将影片奖励税收抵免范围扩大到在</w:t>
      </w:r>
      <w:r>
        <w:rPr>
          <w:rFonts w:hint="eastAsia"/>
        </w:rPr>
        <w:t>2018</w:t>
      </w:r>
      <w:r>
        <w:rPr>
          <w:rFonts w:hint="eastAsia"/>
        </w:rPr>
        <w:t>年</w:t>
      </w:r>
      <w:r>
        <w:rPr>
          <w:rFonts w:hint="eastAsia"/>
        </w:rPr>
        <w:t>2</w:t>
      </w:r>
      <w:r>
        <w:rPr>
          <w:rFonts w:hint="eastAsia"/>
        </w:rPr>
        <w:t>月</w:t>
      </w:r>
      <w:r>
        <w:rPr>
          <w:rFonts w:hint="eastAsia"/>
        </w:rPr>
        <w:t>21</w:t>
      </w:r>
      <w:r>
        <w:rPr>
          <w:rFonts w:hint="eastAsia"/>
        </w:rPr>
        <w:t>日或之后由公司在剧本最后阶段完成前发生的剧本撰写支出。</w:t>
      </w:r>
    </w:p>
    <w:p w14:paraId="501C714B" w14:textId="77777777" w:rsidR="00DD1E0B" w:rsidRDefault="00C924F2">
      <w:pPr>
        <w:pStyle w:val="ae"/>
      </w:pPr>
      <w:r>
        <w:t>1.</w:t>
      </w:r>
      <w:r>
        <w:rPr>
          <w:rFonts w:hint="eastAsia"/>
        </w:rPr>
        <w:t>3</w:t>
      </w:r>
      <w:r>
        <w:t xml:space="preserve">.1.2 </w:t>
      </w:r>
      <w:r>
        <w:rPr>
          <w:rFonts w:hint="eastAsia"/>
        </w:rPr>
        <w:t>个人税收变更</w:t>
      </w:r>
    </w:p>
    <w:p w14:paraId="6E33219C" w14:textId="77777777" w:rsidR="00DD1E0B" w:rsidRDefault="00C924F2">
      <w:pPr>
        <w:ind w:firstLine="480"/>
      </w:pPr>
      <w:r>
        <w:rPr>
          <w:rFonts w:hint="eastAsia"/>
        </w:rPr>
        <w:t>（</w:t>
      </w:r>
      <w:r>
        <w:rPr>
          <w:rFonts w:hint="eastAsia"/>
        </w:rPr>
        <w:t>1</w:t>
      </w:r>
      <w:r>
        <w:rPr>
          <w:rFonts w:hint="eastAsia"/>
        </w:rPr>
        <w:t>）个人所得税税率</w:t>
      </w:r>
    </w:p>
    <w:p w14:paraId="3A9D55EF" w14:textId="77777777" w:rsidR="00DD1E0B" w:rsidRDefault="00C924F2">
      <w:pPr>
        <w:ind w:firstLine="480"/>
      </w:pPr>
      <w:r>
        <w:rPr>
          <w:rFonts w:hint="eastAsia"/>
        </w:rPr>
        <w:t>预算法案没有公布有关不列颠哥伦比亚省个人所得税率的变更规定。因此，该省的个人所得税税率如下：</w:t>
      </w:r>
    </w:p>
    <w:tbl>
      <w:tblPr>
        <w:tblStyle w:val="afa"/>
        <w:tblW w:w="8359" w:type="dxa"/>
        <w:tblLayout w:type="fixed"/>
        <w:tblLook w:val="04A0" w:firstRow="1" w:lastRow="0" w:firstColumn="1" w:lastColumn="0" w:noHBand="0" w:noVBand="1"/>
      </w:tblPr>
      <w:tblGrid>
        <w:gridCol w:w="1996"/>
        <w:gridCol w:w="6363"/>
      </w:tblGrid>
      <w:tr w:rsidR="00DD1E0B" w14:paraId="3C4635AA" w14:textId="77777777">
        <w:tc>
          <w:tcPr>
            <w:tcW w:w="1996" w:type="dxa"/>
            <w:shd w:val="clear" w:color="auto" w:fill="BFBFBF" w:themeFill="background1" w:themeFillShade="BF"/>
            <w:vAlign w:val="center"/>
          </w:tcPr>
          <w:p w14:paraId="40F679D5" w14:textId="77777777" w:rsidR="00DD1E0B" w:rsidRDefault="00DD1E0B">
            <w:pPr>
              <w:spacing w:line="240" w:lineRule="auto"/>
              <w:ind w:firstLineChars="0" w:firstLine="0"/>
              <w:jc w:val="center"/>
              <w:rPr>
                <w:rFonts w:cs="Times New Roman"/>
                <w:b/>
                <w:sz w:val="21"/>
              </w:rPr>
            </w:pPr>
          </w:p>
        </w:tc>
        <w:tc>
          <w:tcPr>
            <w:tcW w:w="6363" w:type="dxa"/>
            <w:shd w:val="clear" w:color="auto" w:fill="BFBFBF" w:themeFill="background1" w:themeFillShade="BF"/>
            <w:vAlign w:val="center"/>
          </w:tcPr>
          <w:p w14:paraId="4AACA935" w14:textId="77777777" w:rsidR="00DD1E0B" w:rsidRDefault="00C924F2">
            <w:pPr>
              <w:spacing w:line="240" w:lineRule="auto"/>
              <w:ind w:firstLineChars="0" w:firstLine="0"/>
              <w:jc w:val="center"/>
              <w:rPr>
                <w:rFonts w:cs="Times New Roman"/>
                <w:b/>
                <w:sz w:val="21"/>
              </w:rPr>
            </w:pPr>
            <w:r>
              <w:rPr>
                <w:rFonts w:cs="Times New Roman"/>
                <w:b/>
                <w:sz w:val="21"/>
              </w:rPr>
              <w:t>个人联合联邦</w:t>
            </w:r>
            <w:r>
              <w:rPr>
                <w:rFonts w:cs="Times New Roman"/>
                <w:b/>
                <w:sz w:val="21"/>
              </w:rPr>
              <w:t>/</w:t>
            </w:r>
            <w:r>
              <w:rPr>
                <w:rFonts w:cs="Times New Roman"/>
                <w:b/>
                <w:sz w:val="21"/>
              </w:rPr>
              <w:t>省级顶级边际利率</w:t>
            </w:r>
          </w:p>
          <w:p w14:paraId="5CE4455F" w14:textId="77777777" w:rsidR="00DD1E0B" w:rsidRDefault="00C924F2">
            <w:pPr>
              <w:spacing w:line="240" w:lineRule="auto"/>
              <w:ind w:firstLineChars="0" w:firstLine="0"/>
              <w:jc w:val="center"/>
              <w:rPr>
                <w:rFonts w:cs="Times New Roman"/>
                <w:sz w:val="21"/>
              </w:rPr>
            </w:pPr>
            <w:r>
              <w:rPr>
                <w:rFonts w:cs="Times New Roman"/>
                <w:b/>
                <w:sz w:val="21"/>
              </w:rPr>
              <w:t>（</w:t>
            </w:r>
            <w:r>
              <w:rPr>
                <w:rFonts w:cs="Times New Roman"/>
                <w:b/>
                <w:sz w:val="21"/>
              </w:rPr>
              <w:t>150,000</w:t>
            </w:r>
            <w:r>
              <w:rPr>
                <w:rFonts w:cs="Times New Roman"/>
                <w:b/>
                <w:sz w:val="21"/>
              </w:rPr>
              <w:t>美元</w:t>
            </w:r>
            <w:r>
              <w:rPr>
                <w:rFonts w:cs="Times New Roman"/>
                <w:b/>
                <w:sz w:val="21"/>
              </w:rPr>
              <w:t>&lt;</w:t>
            </w:r>
            <w:r>
              <w:rPr>
                <w:rFonts w:cs="Times New Roman"/>
                <w:b/>
                <w:sz w:val="21"/>
              </w:rPr>
              <w:t>收入</w:t>
            </w:r>
            <w:r>
              <w:rPr>
                <w:rFonts w:cs="Times New Roman"/>
                <w:b/>
                <w:sz w:val="21"/>
              </w:rPr>
              <w:t>&lt; 202,800</w:t>
            </w:r>
            <w:r>
              <w:rPr>
                <w:rFonts w:cs="Times New Roman"/>
                <w:b/>
                <w:sz w:val="21"/>
              </w:rPr>
              <w:t>美元）</w:t>
            </w:r>
          </w:p>
        </w:tc>
      </w:tr>
      <w:tr w:rsidR="00DD1E0B" w14:paraId="6F682715" w14:textId="77777777">
        <w:tc>
          <w:tcPr>
            <w:tcW w:w="1996" w:type="dxa"/>
            <w:shd w:val="clear" w:color="auto" w:fill="BFBFBF" w:themeFill="background1" w:themeFillShade="BF"/>
            <w:vAlign w:val="center"/>
          </w:tcPr>
          <w:p w14:paraId="6C8580AA" w14:textId="77777777" w:rsidR="00DD1E0B" w:rsidRDefault="00DD1E0B">
            <w:pPr>
              <w:spacing w:line="240" w:lineRule="auto"/>
              <w:ind w:firstLineChars="0" w:firstLine="0"/>
              <w:jc w:val="center"/>
              <w:rPr>
                <w:rFonts w:cs="Times New Roman"/>
                <w:sz w:val="21"/>
              </w:rPr>
            </w:pPr>
          </w:p>
        </w:tc>
        <w:tc>
          <w:tcPr>
            <w:tcW w:w="6363" w:type="dxa"/>
            <w:shd w:val="clear" w:color="auto" w:fill="BFBFBF" w:themeFill="background1" w:themeFillShade="BF"/>
            <w:vAlign w:val="center"/>
          </w:tcPr>
          <w:p w14:paraId="58A5E5A7" w14:textId="77777777" w:rsidR="00DD1E0B" w:rsidRDefault="00C924F2">
            <w:pPr>
              <w:spacing w:line="240" w:lineRule="auto"/>
              <w:ind w:firstLineChars="0" w:firstLine="0"/>
              <w:jc w:val="center"/>
              <w:rPr>
                <w:rFonts w:cs="Times New Roman"/>
                <w:b/>
                <w:sz w:val="21"/>
              </w:rPr>
            </w:pPr>
            <w:r>
              <w:rPr>
                <w:rFonts w:cs="Times New Roman"/>
                <w:b/>
                <w:sz w:val="21"/>
              </w:rPr>
              <w:t>2018</w:t>
            </w:r>
          </w:p>
        </w:tc>
      </w:tr>
      <w:tr w:rsidR="00DD1E0B" w14:paraId="0CE91D48" w14:textId="77777777">
        <w:tc>
          <w:tcPr>
            <w:tcW w:w="1996" w:type="dxa"/>
            <w:vAlign w:val="center"/>
          </w:tcPr>
          <w:p w14:paraId="09B054A8" w14:textId="77777777" w:rsidR="00DD1E0B" w:rsidRDefault="00C924F2">
            <w:pPr>
              <w:spacing w:line="240" w:lineRule="auto"/>
              <w:ind w:firstLineChars="0" w:firstLine="0"/>
              <w:jc w:val="center"/>
              <w:rPr>
                <w:rFonts w:cs="Times New Roman"/>
                <w:sz w:val="21"/>
              </w:rPr>
            </w:pPr>
            <w:r>
              <w:rPr>
                <w:rFonts w:cs="Times New Roman"/>
                <w:sz w:val="21"/>
              </w:rPr>
              <w:t>利息与一般收入</w:t>
            </w:r>
          </w:p>
        </w:tc>
        <w:tc>
          <w:tcPr>
            <w:tcW w:w="6363" w:type="dxa"/>
          </w:tcPr>
          <w:p w14:paraId="4CAC669B" w14:textId="77777777" w:rsidR="00DD1E0B" w:rsidRDefault="00C924F2">
            <w:pPr>
              <w:spacing w:line="240" w:lineRule="auto"/>
              <w:ind w:firstLineChars="0" w:firstLine="0"/>
              <w:jc w:val="center"/>
              <w:rPr>
                <w:rFonts w:cs="Times New Roman"/>
                <w:sz w:val="21"/>
              </w:rPr>
            </w:pPr>
            <w:r>
              <w:rPr>
                <w:sz w:val="21"/>
              </w:rPr>
              <w:t>49.80%</w:t>
            </w:r>
          </w:p>
        </w:tc>
      </w:tr>
      <w:tr w:rsidR="00DD1E0B" w14:paraId="505A3929" w14:textId="77777777">
        <w:tc>
          <w:tcPr>
            <w:tcW w:w="1996" w:type="dxa"/>
            <w:vAlign w:val="center"/>
          </w:tcPr>
          <w:p w14:paraId="661505E1" w14:textId="77777777" w:rsidR="00DD1E0B" w:rsidRDefault="00C924F2">
            <w:pPr>
              <w:spacing w:line="240" w:lineRule="auto"/>
              <w:ind w:firstLineChars="0" w:firstLine="0"/>
              <w:jc w:val="center"/>
              <w:rPr>
                <w:rFonts w:cs="Times New Roman"/>
                <w:sz w:val="21"/>
              </w:rPr>
            </w:pPr>
            <w:r>
              <w:rPr>
                <w:rFonts w:cs="Times New Roman"/>
                <w:sz w:val="21"/>
              </w:rPr>
              <w:t>资本利得</w:t>
            </w:r>
          </w:p>
        </w:tc>
        <w:tc>
          <w:tcPr>
            <w:tcW w:w="6363" w:type="dxa"/>
          </w:tcPr>
          <w:p w14:paraId="4F8F87D1" w14:textId="77777777" w:rsidR="00DD1E0B" w:rsidRDefault="00C924F2">
            <w:pPr>
              <w:spacing w:line="240" w:lineRule="auto"/>
              <w:ind w:firstLineChars="0" w:firstLine="0"/>
              <w:jc w:val="center"/>
              <w:rPr>
                <w:rFonts w:cs="Times New Roman"/>
                <w:sz w:val="21"/>
              </w:rPr>
            </w:pPr>
            <w:r>
              <w:rPr>
                <w:sz w:val="21"/>
              </w:rPr>
              <w:t>24.90%</w:t>
            </w:r>
          </w:p>
        </w:tc>
      </w:tr>
      <w:tr w:rsidR="00DD1E0B" w14:paraId="1FCF73EB" w14:textId="77777777">
        <w:tc>
          <w:tcPr>
            <w:tcW w:w="1996" w:type="dxa"/>
            <w:vAlign w:val="center"/>
          </w:tcPr>
          <w:p w14:paraId="304FCABD" w14:textId="77777777" w:rsidR="00DD1E0B" w:rsidRDefault="00C924F2">
            <w:pPr>
              <w:spacing w:line="240" w:lineRule="auto"/>
              <w:ind w:firstLineChars="0" w:firstLine="0"/>
              <w:jc w:val="center"/>
              <w:rPr>
                <w:rFonts w:cs="Times New Roman"/>
                <w:sz w:val="21"/>
              </w:rPr>
            </w:pPr>
            <w:r>
              <w:rPr>
                <w:rFonts w:cs="Times New Roman"/>
                <w:sz w:val="21"/>
              </w:rPr>
              <w:t>合格股息</w:t>
            </w:r>
          </w:p>
        </w:tc>
        <w:tc>
          <w:tcPr>
            <w:tcW w:w="6363" w:type="dxa"/>
          </w:tcPr>
          <w:p w14:paraId="00217D45" w14:textId="77777777" w:rsidR="00DD1E0B" w:rsidRDefault="00C924F2">
            <w:pPr>
              <w:spacing w:line="240" w:lineRule="auto"/>
              <w:ind w:firstLineChars="0" w:firstLine="0"/>
              <w:jc w:val="center"/>
              <w:rPr>
                <w:rFonts w:cs="Times New Roman"/>
                <w:sz w:val="21"/>
              </w:rPr>
            </w:pPr>
            <w:r>
              <w:rPr>
                <w:sz w:val="21"/>
              </w:rPr>
              <w:t>34.20%</w:t>
            </w:r>
          </w:p>
        </w:tc>
      </w:tr>
      <w:tr w:rsidR="00DD1E0B" w14:paraId="59B58DA6" w14:textId="77777777">
        <w:tc>
          <w:tcPr>
            <w:tcW w:w="1996" w:type="dxa"/>
            <w:vAlign w:val="center"/>
          </w:tcPr>
          <w:p w14:paraId="749ECC85" w14:textId="77777777" w:rsidR="00DD1E0B" w:rsidRDefault="00C924F2">
            <w:pPr>
              <w:spacing w:line="240" w:lineRule="auto"/>
              <w:ind w:firstLineChars="0" w:firstLine="0"/>
              <w:jc w:val="center"/>
              <w:rPr>
                <w:rFonts w:cs="Times New Roman"/>
                <w:sz w:val="21"/>
              </w:rPr>
            </w:pPr>
            <w:r>
              <w:rPr>
                <w:rFonts w:cs="Times New Roman"/>
                <w:sz w:val="21"/>
              </w:rPr>
              <w:t>不合格股息</w:t>
            </w:r>
          </w:p>
        </w:tc>
        <w:tc>
          <w:tcPr>
            <w:tcW w:w="6363" w:type="dxa"/>
          </w:tcPr>
          <w:p w14:paraId="0B1903DB" w14:textId="77777777" w:rsidR="00DD1E0B" w:rsidRDefault="00C924F2">
            <w:pPr>
              <w:spacing w:line="240" w:lineRule="auto"/>
              <w:ind w:firstLineChars="0" w:firstLine="0"/>
              <w:jc w:val="center"/>
              <w:rPr>
                <w:rFonts w:cs="Times New Roman"/>
                <w:sz w:val="21"/>
              </w:rPr>
            </w:pPr>
            <w:r>
              <w:rPr>
                <w:sz w:val="21"/>
              </w:rPr>
              <w:t>43.73%</w:t>
            </w:r>
          </w:p>
        </w:tc>
      </w:tr>
    </w:tbl>
    <w:p w14:paraId="2507EFC6" w14:textId="77777777" w:rsidR="00DD1E0B" w:rsidRDefault="00C924F2">
      <w:pPr>
        <w:ind w:firstLine="480"/>
      </w:pPr>
      <w:r>
        <w:rPr>
          <w:rFonts w:hint="eastAsia"/>
        </w:rPr>
        <w:t>（</w:t>
      </w:r>
      <w:r>
        <w:rPr>
          <w:rFonts w:hint="eastAsia"/>
        </w:rPr>
        <w:t>2</w:t>
      </w:r>
      <w:r>
        <w:rPr>
          <w:rFonts w:hint="eastAsia"/>
        </w:rPr>
        <w:t>）省财产转让税</w:t>
      </w:r>
    </w:p>
    <w:p w14:paraId="3C8649EF" w14:textId="77777777" w:rsidR="00DD1E0B" w:rsidRDefault="00C924F2">
      <w:pPr>
        <w:ind w:firstLine="480"/>
      </w:pPr>
      <w:r>
        <w:rPr>
          <w:rFonts w:hint="eastAsia"/>
        </w:rPr>
        <w:t>对于价值</w:t>
      </w:r>
      <w:r>
        <w:rPr>
          <w:rFonts w:hint="eastAsia"/>
        </w:rPr>
        <w:t>300</w:t>
      </w:r>
      <w:r>
        <w:rPr>
          <w:rFonts w:hint="eastAsia"/>
        </w:rPr>
        <w:t>万美元以上的住宅物业，预算法案将省级财产转让税（</w:t>
      </w:r>
      <w:r>
        <w:rPr>
          <w:rFonts w:hint="eastAsia"/>
        </w:rPr>
        <w:t>PTT</w:t>
      </w:r>
      <w:r>
        <w:rPr>
          <w:rFonts w:hint="eastAsia"/>
        </w:rPr>
        <w:t>，</w:t>
      </w:r>
      <w:r>
        <w:t>Property Transfer Taxes</w:t>
      </w:r>
      <w:r>
        <w:rPr>
          <w:rFonts w:hint="eastAsia"/>
        </w:rPr>
        <w:t>）税率从</w:t>
      </w:r>
      <w:r>
        <w:rPr>
          <w:rFonts w:hint="eastAsia"/>
        </w:rPr>
        <w:t>3</w:t>
      </w:r>
      <w:r>
        <w:rPr>
          <w:rFonts w:hint="eastAsia"/>
        </w:rPr>
        <w:t>％提高到</w:t>
      </w:r>
      <w:r>
        <w:rPr>
          <w:rFonts w:hint="eastAsia"/>
        </w:rPr>
        <w:t>5</w:t>
      </w:r>
      <w:r>
        <w:rPr>
          <w:rFonts w:hint="eastAsia"/>
        </w:rPr>
        <w:t>％，该措施于</w:t>
      </w:r>
      <w:r>
        <w:rPr>
          <w:rFonts w:hint="eastAsia"/>
        </w:rPr>
        <w:t>2018</w:t>
      </w:r>
      <w:r>
        <w:rPr>
          <w:rFonts w:hint="eastAsia"/>
        </w:rPr>
        <w:t>年</w:t>
      </w:r>
      <w:r>
        <w:rPr>
          <w:rFonts w:hint="eastAsia"/>
        </w:rPr>
        <w:t>2</w:t>
      </w:r>
      <w:r>
        <w:rPr>
          <w:rFonts w:hint="eastAsia"/>
        </w:rPr>
        <w:t>月</w:t>
      </w:r>
      <w:r>
        <w:rPr>
          <w:rFonts w:hint="eastAsia"/>
        </w:rPr>
        <w:t>21</w:t>
      </w:r>
      <w:r>
        <w:rPr>
          <w:rFonts w:hint="eastAsia"/>
        </w:rPr>
        <w:t>日生效。此外，预算规定，外国购买者获得该省的住宅物业适用的额外一次性省级财产转让税税率将从</w:t>
      </w:r>
      <w:r>
        <w:rPr>
          <w:rFonts w:hint="eastAsia"/>
        </w:rPr>
        <w:t>15</w:t>
      </w:r>
      <w:r>
        <w:rPr>
          <w:rFonts w:hint="eastAsia"/>
        </w:rPr>
        <w:t>％增加至</w:t>
      </w:r>
      <w:r>
        <w:rPr>
          <w:rFonts w:hint="eastAsia"/>
        </w:rPr>
        <w:t>20</w:t>
      </w:r>
      <w:r>
        <w:rPr>
          <w:rFonts w:hint="eastAsia"/>
        </w:rPr>
        <w:t>％，并将当前大温哥华地区的税收征税范围扩</w:t>
      </w:r>
      <w:r>
        <w:rPr>
          <w:rFonts w:hint="eastAsia"/>
        </w:rPr>
        <w:lastRenderedPageBreak/>
        <w:t>大至包括弗雷泽谷，纳奈莫和中奥肯那根地区，这些措施也于</w:t>
      </w:r>
      <w:r>
        <w:rPr>
          <w:rFonts w:hint="eastAsia"/>
        </w:rPr>
        <w:t>2018</w:t>
      </w:r>
      <w:r>
        <w:rPr>
          <w:rFonts w:hint="eastAsia"/>
        </w:rPr>
        <w:t>年</w:t>
      </w:r>
      <w:r>
        <w:rPr>
          <w:rFonts w:hint="eastAsia"/>
        </w:rPr>
        <w:t>2</w:t>
      </w:r>
      <w:r>
        <w:rPr>
          <w:rFonts w:hint="eastAsia"/>
        </w:rPr>
        <w:t>月</w:t>
      </w:r>
      <w:r>
        <w:rPr>
          <w:rFonts w:hint="eastAsia"/>
        </w:rPr>
        <w:t>21</w:t>
      </w:r>
      <w:r>
        <w:rPr>
          <w:rFonts w:hint="eastAsia"/>
        </w:rPr>
        <w:t>日生效。过渡规则（尽管尚未在预算中定义）可以豁免</w:t>
      </w:r>
      <w:r>
        <w:rPr>
          <w:rFonts w:hint="eastAsia"/>
        </w:rPr>
        <w:t>2018</w:t>
      </w:r>
      <w:r>
        <w:rPr>
          <w:rFonts w:hint="eastAsia"/>
        </w:rPr>
        <w:t>年</w:t>
      </w:r>
      <w:r>
        <w:rPr>
          <w:rFonts w:hint="eastAsia"/>
        </w:rPr>
        <w:t>2</w:t>
      </w:r>
      <w:r>
        <w:rPr>
          <w:rFonts w:hint="eastAsia"/>
        </w:rPr>
        <w:t>月</w:t>
      </w:r>
      <w:r>
        <w:rPr>
          <w:rFonts w:hint="eastAsia"/>
        </w:rPr>
        <w:t>21</w:t>
      </w:r>
      <w:r>
        <w:rPr>
          <w:rFonts w:hint="eastAsia"/>
        </w:rPr>
        <w:t>日之前为这些新增区域签订的合格财产交易。但是，大温哥华地区的交易不适用过渡规则。</w:t>
      </w:r>
    </w:p>
    <w:p w14:paraId="06CF28D9" w14:textId="77777777" w:rsidR="00DD1E0B" w:rsidRDefault="00C924F2">
      <w:pPr>
        <w:ind w:firstLine="480"/>
      </w:pPr>
      <w:r>
        <w:rPr>
          <w:rFonts w:hint="eastAsia"/>
        </w:rPr>
        <w:t>该预算还规定，对</w:t>
      </w:r>
      <w:r>
        <w:rPr>
          <w:rFonts w:hint="eastAsia"/>
        </w:rPr>
        <w:t>2018</w:t>
      </w:r>
      <w:r>
        <w:rPr>
          <w:rFonts w:hint="eastAsia"/>
        </w:rPr>
        <w:t>年</w:t>
      </w:r>
      <w:r>
        <w:rPr>
          <w:rFonts w:hint="eastAsia"/>
        </w:rPr>
        <w:t>2</w:t>
      </w:r>
      <w:r>
        <w:rPr>
          <w:rFonts w:hint="eastAsia"/>
        </w:rPr>
        <w:t>月</w:t>
      </w:r>
      <w:r>
        <w:rPr>
          <w:rFonts w:hint="eastAsia"/>
        </w:rPr>
        <w:t>21</w:t>
      </w:r>
      <w:r>
        <w:rPr>
          <w:rFonts w:hint="eastAsia"/>
        </w:rPr>
        <w:t>日或之后发生的破产人的主要居所从破产受托人转移到破产人或破产人</w:t>
      </w:r>
      <w:r>
        <w:rPr>
          <w:rFonts w:hint="eastAsia"/>
        </w:rPr>
        <w:t>的配偶或前配偶的财产交易免征税款。</w:t>
      </w:r>
    </w:p>
    <w:p w14:paraId="545ECA33" w14:textId="77777777" w:rsidR="00DD1E0B" w:rsidRDefault="00C924F2">
      <w:pPr>
        <w:ind w:firstLine="480"/>
      </w:pPr>
      <w:r>
        <w:rPr>
          <w:rFonts w:hint="eastAsia"/>
        </w:rPr>
        <w:t>（</w:t>
      </w:r>
      <w:r>
        <w:rPr>
          <w:rFonts w:hint="eastAsia"/>
        </w:rPr>
        <w:t>1</w:t>
      </w:r>
      <w:r>
        <w:rPr>
          <w:rFonts w:hint="eastAsia"/>
        </w:rPr>
        <w:t>）房地产投机税</w:t>
      </w:r>
    </w:p>
    <w:p w14:paraId="537FD74D" w14:textId="77777777" w:rsidR="00DD1E0B" w:rsidRDefault="00C924F2">
      <w:pPr>
        <w:ind w:firstLine="480"/>
      </w:pPr>
      <w:r>
        <w:rPr>
          <w:rFonts w:hint="eastAsia"/>
        </w:rPr>
        <w:t>预算法案宣布从</w:t>
      </w:r>
      <w:r>
        <w:rPr>
          <w:rFonts w:hint="eastAsia"/>
        </w:rPr>
        <w:t>2018</w:t>
      </w:r>
      <w:r>
        <w:rPr>
          <w:rFonts w:hint="eastAsia"/>
        </w:rPr>
        <w:t>年开始，对不列颠哥伦比亚省的住宅物业征收新的投机性税收，该住宅物业每</w:t>
      </w:r>
      <w:r>
        <w:rPr>
          <w:rFonts w:hint="eastAsia"/>
        </w:rPr>
        <w:t>1000</w:t>
      </w:r>
      <w:r>
        <w:rPr>
          <w:rFonts w:hint="eastAsia"/>
        </w:rPr>
        <w:t>美元的评估价格为</w:t>
      </w:r>
      <w:r>
        <w:rPr>
          <w:rFonts w:hint="eastAsia"/>
        </w:rPr>
        <w:t>5</w:t>
      </w:r>
      <w:r>
        <w:rPr>
          <w:rFonts w:hint="eastAsia"/>
        </w:rPr>
        <w:t>美元</w:t>
      </w:r>
      <w:r>
        <w:rPr>
          <w:rFonts w:hint="eastAsia"/>
        </w:rPr>
        <w:t>. 2019</w:t>
      </w:r>
      <w:r>
        <w:rPr>
          <w:rFonts w:hint="eastAsia"/>
        </w:rPr>
        <w:t>年该税将增加至每</w:t>
      </w:r>
      <w:r>
        <w:rPr>
          <w:rFonts w:hint="eastAsia"/>
        </w:rPr>
        <w:t>1000</w:t>
      </w:r>
      <w:r>
        <w:rPr>
          <w:rFonts w:hint="eastAsia"/>
        </w:rPr>
        <w:t>美元的评估价值</w:t>
      </w:r>
      <w:r>
        <w:rPr>
          <w:rFonts w:hint="eastAsia"/>
        </w:rPr>
        <w:t>20</w:t>
      </w:r>
      <w:r>
        <w:rPr>
          <w:rFonts w:hint="eastAsia"/>
        </w:rPr>
        <w:t>美元，最初适用于大温哥华，弗雷泽谷，首都和纳奈莫地区以及基洛纳和西基洛纳市。这项新的年度房产税旨在针对在不列颠哥伦比亚省缴纳所得税的外国和国内房主，并将为大多数主要住宅、合格的长期租赁房产以及预算中未定义的其他特殊情况提供前期免税。</w:t>
      </w:r>
    </w:p>
    <w:p w14:paraId="6A737777" w14:textId="77777777" w:rsidR="00DD1E0B" w:rsidRDefault="00C924F2">
      <w:pPr>
        <w:ind w:firstLine="480"/>
      </w:pPr>
      <w:r>
        <w:rPr>
          <w:rFonts w:hint="eastAsia"/>
        </w:rPr>
        <w:t>此外，预算还引入了不可退还的所得税抵免，以抵消新</w:t>
      </w:r>
      <w:r>
        <w:rPr>
          <w:rFonts w:hint="eastAsia"/>
        </w:rPr>
        <w:t>的房产税，为那些不具备前期豁免资格的人提供救济，但这些人又需要在不列颠哥伦比亚省缴纳所得税。这笔不可退还的所得税抵免可结转至未来的纳税年度。不列颠哥伦比亚省表示将在实施此更改之前提供进一步的细节。</w:t>
      </w:r>
    </w:p>
    <w:p w14:paraId="6ABB0FE8" w14:textId="77777777" w:rsidR="00DD1E0B" w:rsidRDefault="00C924F2">
      <w:pPr>
        <w:ind w:firstLine="480"/>
      </w:pPr>
      <w:r>
        <w:rPr>
          <w:rFonts w:hint="eastAsia"/>
        </w:rPr>
        <w:t>（</w:t>
      </w:r>
      <w:r>
        <w:rPr>
          <w:rFonts w:hint="eastAsia"/>
        </w:rPr>
        <w:t>2</w:t>
      </w:r>
      <w:r>
        <w:rPr>
          <w:rFonts w:hint="eastAsia"/>
        </w:rPr>
        <w:t>）其他与住房有关的措施</w:t>
      </w:r>
    </w:p>
    <w:p w14:paraId="255E24E7" w14:textId="77777777" w:rsidR="00DD1E0B" w:rsidRDefault="00C924F2">
      <w:pPr>
        <w:ind w:firstLine="480"/>
      </w:pPr>
      <w:r>
        <w:rPr>
          <w:rFonts w:hint="eastAsia"/>
        </w:rPr>
        <w:t>预算还宣布了其他与住房有关的措施，包括对以下方面的修改：</w:t>
      </w:r>
    </w:p>
    <w:p w14:paraId="27BA81CB" w14:textId="77777777" w:rsidR="00DD1E0B" w:rsidRDefault="00C924F2">
      <w:pPr>
        <w:pStyle w:val="afd"/>
        <w:numPr>
          <w:ilvl w:val="1"/>
          <w:numId w:val="6"/>
        </w:numPr>
        <w:ind w:left="426" w:firstLineChars="0"/>
      </w:pPr>
      <w:r>
        <w:rPr>
          <w:rFonts w:hint="eastAsia"/>
        </w:rPr>
        <w:t>正如</w:t>
      </w:r>
      <w:r>
        <w:rPr>
          <w:rFonts w:hint="eastAsia"/>
        </w:rPr>
        <w:t>2018</w:t>
      </w:r>
      <w:r>
        <w:rPr>
          <w:rFonts w:hint="eastAsia"/>
        </w:rPr>
        <w:t>年</w:t>
      </w:r>
      <w:r>
        <w:rPr>
          <w:rFonts w:hint="eastAsia"/>
        </w:rPr>
        <w:t>1</w:t>
      </w:r>
      <w:r>
        <w:rPr>
          <w:rFonts w:hint="eastAsia"/>
        </w:rPr>
        <w:t>月</w:t>
      </w:r>
      <w:r>
        <w:rPr>
          <w:rFonts w:hint="eastAsia"/>
        </w:rPr>
        <w:t>3</w:t>
      </w:r>
      <w:r>
        <w:rPr>
          <w:rFonts w:hint="eastAsia"/>
        </w:rPr>
        <w:t>日省政府宣布的那样，将</w:t>
      </w:r>
      <w:r>
        <w:rPr>
          <w:rFonts w:hint="eastAsia"/>
        </w:rPr>
        <w:t>2018</w:t>
      </w:r>
      <w:r>
        <w:rPr>
          <w:rFonts w:hint="eastAsia"/>
        </w:rPr>
        <w:t>年纳税年度的整个房主补助金的房产价值门槛提高至</w:t>
      </w:r>
      <w:r>
        <w:rPr>
          <w:rFonts w:hint="eastAsia"/>
        </w:rPr>
        <w:t>165</w:t>
      </w:r>
      <w:r>
        <w:rPr>
          <w:rFonts w:hint="eastAsia"/>
        </w:rPr>
        <w:t>万美元。对于价值高于此门槛的房产，超过此门槛值的每</w:t>
      </w:r>
      <w:r>
        <w:rPr>
          <w:rFonts w:hint="eastAsia"/>
        </w:rPr>
        <w:t>1000</w:t>
      </w:r>
      <w:r>
        <w:rPr>
          <w:rFonts w:hint="eastAsia"/>
        </w:rPr>
        <w:t>美元评估价值，补助款将减少</w:t>
      </w:r>
      <w:r>
        <w:rPr>
          <w:rFonts w:hint="eastAsia"/>
        </w:rPr>
        <w:t>5</w:t>
      </w:r>
      <w:r>
        <w:rPr>
          <w:rFonts w:hint="eastAsia"/>
        </w:rPr>
        <w:t>美元；</w:t>
      </w:r>
    </w:p>
    <w:p w14:paraId="39121459" w14:textId="77777777" w:rsidR="00DD1E0B" w:rsidRDefault="00C924F2">
      <w:pPr>
        <w:pStyle w:val="afd"/>
        <w:numPr>
          <w:ilvl w:val="1"/>
          <w:numId w:val="6"/>
        </w:numPr>
        <w:ind w:left="426" w:firstLineChars="0"/>
      </w:pPr>
      <w:r>
        <w:rPr>
          <w:rFonts w:hint="eastAsia"/>
        </w:rPr>
        <w:t>对大部分住宅物业的评估价值超过</w:t>
      </w:r>
      <w:r>
        <w:rPr>
          <w:rFonts w:hint="eastAsia"/>
        </w:rPr>
        <w:t>3</w:t>
      </w:r>
      <w:r>
        <w:rPr>
          <w:rFonts w:hint="eastAsia"/>
        </w:rPr>
        <w:t>00</w:t>
      </w:r>
      <w:r>
        <w:rPr>
          <w:rFonts w:hint="eastAsia"/>
        </w:rPr>
        <w:t>万美元部分征收的省学校税增加至</w:t>
      </w:r>
      <w:r>
        <w:rPr>
          <w:rFonts w:hint="eastAsia"/>
        </w:rPr>
        <w:t>0.2</w:t>
      </w:r>
      <w:r>
        <w:rPr>
          <w:rFonts w:hint="eastAsia"/>
        </w:rPr>
        <w:t>％，评估值超过</w:t>
      </w:r>
      <w:r>
        <w:rPr>
          <w:rFonts w:hint="eastAsia"/>
        </w:rPr>
        <w:t>400</w:t>
      </w:r>
      <w:r>
        <w:rPr>
          <w:rFonts w:hint="eastAsia"/>
        </w:rPr>
        <w:t>万美元的住宅物业则增加至</w:t>
      </w:r>
      <w:r>
        <w:rPr>
          <w:rFonts w:hint="eastAsia"/>
        </w:rPr>
        <w:t>0.4</w:t>
      </w:r>
      <w:r>
        <w:rPr>
          <w:rFonts w:hint="eastAsia"/>
        </w:rPr>
        <w:t>％；</w:t>
      </w:r>
    </w:p>
    <w:p w14:paraId="05A37EBD" w14:textId="77777777" w:rsidR="00DD1E0B" w:rsidRDefault="00C924F2">
      <w:pPr>
        <w:pStyle w:val="afd"/>
        <w:numPr>
          <w:ilvl w:val="1"/>
          <w:numId w:val="6"/>
        </w:numPr>
        <w:ind w:left="426" w:firstLineChars="0"/>
      </w:pPr>
      <w:r>
        <w:rPr>
          <w:rFonts w:hint="eastAsia"/>
        </w:rPr>
        <w:t>加强税收管理和信息共享，包括采取以下措施：</w:t>
      </w:r>
    </w:p>
    <w:p w14:paraId="6C41DB6B" w14:textId="77777777" w:rsidR="00DD1E0B" w:rsidRDefault="00C924F2">
      <w:pPr>
        <w:pStyle w:val="afd"/>
        <w:numPr>
          <w:ilvl w:val="0"/>
          <w:numId w:val="7"/>
        </w:numPr>
        <w:ind w:firstLineChars="0"/>
      </w:pPr>
      <w:r>
        <w:rPr>
          <w:rFonts w:hint="eastAsia"/>
        </w:rPr>
        <w:t>要求开发商收集和报告关于预售公寓购买分配的全面信息；</w:t>
      </w:r>
    </w:p>
    <w:p w14:paraId="358B9201" w14:textId="77777777" w:rsidR="00DD1E0B" w:rsidRDefault="00C924F2">
      <w:pPr>
        <w:pStyle w:val="afd"/>
        <w:numPr>
          <w:ilvl w:val="0"/>
          <w:numId w:val="7"/>
        </w:numPr>
        <w:ind w:firstLineChars="0"/>
      </w:pPr>
      <w:r>
        <w:rPr>
          <w:rFonts w:hint="eastAsia"/>
        </w:rPr>
        <w:t>在财产转移征税表中介绍关于受益所有权的附加信息，包括通过信托基金为受让人提供的税务识别号码；</w:t>
      </w:r>
    </w:p>
    <w:p w14:paraId="466D0D33" w14:textId="77777777" w:rsidR="00DD1E0B" w:rsidRDefault="00C924F2">
      <w:pPr>
        <w:pStyle w:val="afd"/>
        <w:numPr>
          <w:ilvl w:val="0"/>
          <w:numId w:val="7"/>
        </w:numPr>
        <w:ind w:firstLineChars="0"/>
      </w:pPr>
      <w:r>
        <w:rPr>
          <w:rFonts w:hint="eastAsia"/>
        </w:rPr>
        <w:t>增加评估的时效期限并对违规行为实施行政处罚；</w:t>
      </w:r>
    </w:p>
    <w:p w14:paraId="60A03963" w14:textId="77777777" w:rsidR="00DD1E0B" w:rsidRDefault="00C924F2">
      <w:pPr>
        <w:pStyle w:val="afd"/>
        <w:numPr>
          <w:ilvl w:val="0"/>
          <w:numId w:val="7"/>
        </w:numPr>
        <w:ind w:firstLineChars="0"/>
      </w:pPr>
      <w:r>
        <w:rPr>
          <w:rFonts w:hint="eastAsia"/>
        </w:rPr>
        <w:t>将整个反避税规则扩大到整个财产转移税法。</w:t>
      </w:r>
    </w:p>
    <w:p w14:paraId="7DC67F53" w14:textId="77777777" w:rsidR="00DD1E0B" w:rsidRDefault="00C924F2">
      <w:pPr>
        <w:ind w:firstLine="480"/>
      </w:pPr>
      <w:r>
        <w:rPr>
          <w:rFonts w:hint="eastAsia"/>
        </w:rPr>
        <w:lastRenderedPageBreak/>
        <w:t>该预算指出，不列颠哥伦比亚省正在寻求改变农业土地储备（</w:t>
      </w:r>
      <w:r>
        <w:rPr>
          <w:rFonts w:hint="eastAsia"/>
        </w:rPr>
        <w:t>ALR</w:t>
      </w:r>
      <w:r>
        <w:rPr>
          <w:rFonts w:hint="eastAsia"/>
        </w:rPr>
        <w:t>，</w:t>
      </w:r>
      <w:r>
        <w:t>Agricultural Land Reserve</w:t>
      </w:r>
      <w:r>
        <w:rPr>
          <w:rFonts w:hint="eastAsia"/>
        </w:rPr>
        <w:t>）住宅物业的物业税处理方式，作为更广泛的审查的一部分，以确保</w:t>
      </w:r>
      <w:r>
        <w:rPr>
          <w:rFonts w:hint="eastAsia"/>
        </w:rPr>
        <w:t>ALR</w:t>
      </w:r>
      <w:r>
        <w:rPr>
          <w:rFonts w:hint="eastAsia"/>
        </w:rPr>
        <w:t>的土地被用于农业。</w:t>
      </w:r>
    </w:p>
    <w:p w14:paraId="430F96BA" w14:textId="77777777" w:rsidR="00DD1E0B" w:rsidRDefault="00C924F2">
      <w:pPr>
        <w:ind w:firstLine="480"/>
      </w:pPr>
      <w:r>
        <w:rPr>
          <w:rFonts w:hint="eastAsia"/>
        </w:rPr>
        <w:t>（</w:t>
      </w:r>
      <w:r>
        <w:rPr>
          <w:rFonts w:hint="eastAsia"/>
        </w:rPr>
        <w:t>1</w:t>
      </w:r>
      <w:r>
        <w:rPr>
          <w:rFonts w:hint="eastAsia"/>
        </w:rPr>
        <w:t>）其他个人所得税抵免变化</w:t>
      </w:r>
    </w:p>
    <w:p w14:paraId="481635E9" w14:textId="77777777" w:rsidR="00DD1E0B" w:rsidRDefault="00C924F2">
      <w:pPr>
        <w:ind w:firstLine="480"/>
      </w:pPr>
      <w:r>
        <w:rPr>
          <w:rFonts w:hint="eastAsia"/>
        </w:rPr>
        <w:t>预算宣布个人税收抵免发生变化，包括以下措施：</w:t>
      </w:r>
    </w:p>
    <w:p w14:paraId="171F0B68" w14:textId="77777777" w:rsidR="00DD1E0B" w:rsidRDefault="00C924F2">
      <w:pPr>
        <w:pStyle w:val="afd"/>
        <w:numPr>
          <w:ilvl w:val="0"/>
          <w:numId w:val="8"/>
        </w:numPr>
        <w:ind w:left="426" w:firstLineChars="0"/>
      </w:pPr>
      <w:r>
        <w:rPr>
          <w:rFonts w:hint="eastAsia"/>
        </w:rPr>
        <w:t>引入新的省级护理人员抵免，于</w:t>
      </w:r>
      <w:r>
        <w:rPr>
          <w:rFonts w:hint="eastAsia"/>
        </w:rPr>
        <w:t>2018</w:t>
      </w:r>
      <w:r>
        <w:rPr>
          <w:rFonts w:hint="eastAsia"/>
        </w:rPr>
        <w:t>年及后续纳税年度生效，每名受到抚养的弱势群体人的最高抵免金额为</w:t>
      </w:r>
      <w:r>
        <w:rPr>
          <w:rFonts w:hint="eastAsia"/>
        </w:rPr>
        <w:t>4556</w:t>
      </w:r>
      <w:r>
        <w:rPr>
          <w:rFonts w:hint="eastAsia"/>
        </w:rPr>
        <w:t>美元。这项措施与</w:t>
      </w:r>
      <w:r>
        <w:rPr>
          <w:rFonts w:hint="eastAsia"/>
        </w:rPr>
        <w:t>2017</w:t>
      </w:r>
      <w:r>
        <w:rPr>
          <w:rFonts w:hint="eastAsia"/>
        </w:rPr>
        <w:t>年联邦预算中宣布的加拿大护理人员抵免措施相平行；</w:t>
      </w:r>
    </w:p>
    <w:p w14:paraId="1D054D81" w14:textId="77777777" w:rsidR="00DD1E0B" w:rsidRDefault="00C924F2">
      <w:pPr>
        <w:pStyle w:val="afd"/>
        <w:numPr>
          <w:ilvl w:val="0"/>
          <w:numId w:val="8"/>
        </w:numPr>
        <w:ind w:left="426" w:firstLineChars="0"/>
      </w:pPr>
      <w:r>
        <w:rPr>
          <w:rFonts w:hint="eastAsia"/>
        </w:rPr>
        <w:t>消除本省</w:t>
      </w:r>
      <w:r>
        <w:rPr>
          <w:rFonts w:hint="eastAsia"/>
        </w:rPr>
        <w:t>2019</w:t>
      </w:r>
      <w:r>
        <w:rPr>
          <w:rFonts w:hint="eastAsia"/>
        </w:rPr>
        <w:t>年的教育税收抵免，接下来的纳税年度将遵循</w:t>
      </w:r>
      <w:r>
        <w:rPr>
          <w:rFonts w:hint="eastAsia"/>
        </w:rPr>
        <w:t>2017</w:t>
      </w:r>
      <w:r>
        <w:rPr>
          <w:rFonts w:hint="eastAsia"/>
        </w:rPr>
        <w:t>年的联邦取消规则。任何未使用的省级教育抵免可以在</w:t>
      </w:r>
      <w:r>
        <w:rPr>
          <w:rFonts w:hint="eastAsia"/>
        </w:rPr>
        <w:t>2019</w:t>
      </w:r>
      <w:r>
        <w:rPr>
          <w:rFonts w:hint="eastAsia"/>
        </w:rPr>
        <w:t>年和随后的纳税年度结转并申报；</w:t>
      </w:r>
    </w:p>
    <w:p w14:paraId="6F7B1498" w14:textId="77777777" w:rsidR="00DD1E0B" w:rsidRDefault="00C924F2">
      <w:pPr>
        <w:pStyle w:val="afd"/>
        <w:numPr>
          <w:ilvl w:val="0"/>
          <w:numId w:val="8"/>
        </w:numPr>
        <w:ind w:left="426" w:firstLineChars="0"/>
      </w:pPr>
      <w:r>
        <w:rPr>
          <w:rFonts w:hint="eastAsia"/>
        </w:rPr>
        <w:t>将矿业流通税减免额</w:t>
      </w:r>
      <w:r>
        <w:rPr>
          <w:rFonts w:hint="eastAsia"/>
        </w:rPr>
        <w:t>度延长至</w:t>
      </w:r>
      <w:r>
        <w:rPr>
          <w:rFonts w:hint="eastAsia"/>
        </w:rPr>
        <w:t>2018</w:t>
      </w:r>
      <w:r>
        <w:rPr>
          <w:rFonts w:hint="eastAsia"/>
        </w:rPr>
        <w:t>年底；</w:t>
      </w:r>
    </w:p>
    <w:p w14:paraId="5FD1F70A" w14:textId="77777777" w:rsidR="00DD1E0B" w:rsidRDefault="00C924F2">
      <w:pPr>
        <w:pStyle w:val="afd"/>
        <w:numPr>
          <w:ilvl w:val="0"/>
          <w:numId w:val="8"/>
        </w:numPr>
        <w:ind w:left="426" w:firstLineChars="0"/>
      </w:pPr>
      <w:r>
        <w:rPr>
          <w:rFonts w:hint="eastAsia"/>
        </w:rPr>
        <w:t>将农民的食物捐赠税收抵免延长一年至</w:t>
      </w:r>
      <w:r>
        <w:rPr>
          <w:rFonts w:hint="eastAsia"/>
        </w:rPr>
        <w:t>2019</w:t>
      </w:r>
      <w:r>
        <w:rPr>
          <w:rFonts w:hint="eastAsia"/>
        </w:rPr>
        <w:t>年底。</w:t>
      </w:r>
    </w:p>
    <w:p w14:paraId="14FF2329" w14:textId="77777777" w:rsidR="00DD1E0B" w:rsidRDefault="00C924F2">
      <w:pPr>
        <w:pStyle w:val="ae"/>
      </w:pPr>
      <w:r>
        <w:t>1.</w:t>
      </w:r>
      <w:r>
        <w:rPr>
          <w:rFonts w:hint="eastAsia"/>
        </w:rPr>
        <w:t>3</w:t>
      </w:r>
      <w:r>
        <w:t xml:space="preserve">.1.2 </w:t>
      </w:r>
      <w:r>
        <w:rPr>
          <w:rFonts w:hint="eastAsia"/>
        </w:rPr>
        <w:t>间接税</w:t>
      </w:r>
    </w:p>
    <w:p w14:paraId="1AF49E49" w14:textId="77777777" w:rsidR="00DD1E0B" w:rsidRDefault="00C924F2">
      <w:pPr>
        <w:ind w:firstLine="480"/>
      </w:pPr>
      <w:r>
        <w:rPr>
          <w:rFonts w:hint="eastAsia"/>
        </w:rPr>
        <w:t>（</w:t>
      </w:r>
      <w:r>
        <w:rPr>
          <w:rFonts w:hint="eastAsia"/>
        </w:rPr>
        <w:t>1</w:t>
      </w:r>
      <w:r>
        <w:rPr>
          <w:rFonts w:hint="eastAsia"/>
        </w:rPr>
        <w:t>）碳税</w:t>
      </w:r>
    </w:p>
    <w:p w14:paraId="35690773" w14:textId="77777777" w:rsidR="00DD1E0B" w:rsidRDefault="00C924F2">
      <w:pPr>
        <w:ind w:firstLine="480"/>
      </w:pPr>
      <w:r>
        <w:rPr>
          <w:rFonts w:hint="eastAsia"/>
        </w:rPr>
        <w:t>正如该省</w:t>
      </w:r>
      <w:r>
        <w:rPr>
          <w:rFonts w:hint="eastAsia"/>
        </w:rPr>
        <w:t>2017</w:t>
      </w:r>
      <w:r>
        <w:rPr>
          <w:rFonts w:hint="eastAsia"/>
        </w:rPr>
        <w:t>年预算中所述，对于每吨氧化碳排放量所征的碳税将在每年</w:t>
      </w:r>
      <w:r>
        <w:rPr>
          <w:rFonts w:hint="eastAsia"/>
        </w:rPr>
        <w:t>4</w:t>
      </w:r>
      <w:r>
        <w:rPr>
          <w:rFonts w:hint="eastAsia"/>
        </w:rPr>
        <w:t>月</w:t>
      </w:r>
      <w:r>
        <w:rPr>
          <w:rFonts w:hint="eastAsia"/>
        </w:rPr>
        <w:t>1</w:t>
      </w:r>
      <w:r>
        <w:rPr>
          <w:rFonts w:hint="eastAsia"/>
        </w:rPr>
        <w:t>日增加</w:t>
      </w:r>
      <w:r>
        <w:rPr>
          <w:rFonts w:hint="eastAsia"/>
        </w:rPr>
        <w:t>5</w:t>
      </w:r>
      <w:r>
        <w:rPr>
          <w:rFonts w:hint="eastAsia"/>
        </w:rPr>
        <w:t>美元（目前是每吨</w:t>
      </w:r>
      <w:r>
        <w:rPr>
          <w:rFonts w:hint="eastAsia"/>
        </w:rPr>
        <w:t>30</w:t>
      </w:r>
      <w:r>
        <w:rPr>
          <w:rFonts w:hint="eastAsia"/>
        </w:rPr>
        <w:t>美元，到</w:t>
      </w:r>
      <w:r>
        <w:rPr>
          <w:rFonts w:hint="eastAsia"/>
        </w:rPr>
        <w:t>2018</w:t>
      </w:r>
      <w:r>
        <w:rPr>
          <w:rFonts w:hint="eastAsia"/>
        </w:rPr>
        <w:t>年</w:t>
      </w:r>
      <w:r>
        <w:rPr>
          <w:rFonts w:hint="eastAsia"/>
        </w:rPr>
        <w:t>4</w:t>
      </w:r>
      <w:r>
        <w:rPr>
          <w:rFonts w:hint="eastAsia"/>
        </w:rPr>
        <w:t>月</w:t>
      </w:r>
      <w:r>
        <w:rPr>
          <w:rFonts w:hint="eastAsia"/>
        </w:rPr>
        <w:t>1</w:t>
      </w:r>
      <w:r>
        <w:rPr>
          <w:rFonts w:hint="eastAsia"/>
        </w:rPr>
        <w:t>日增至</w:t>
      </w:r>
      <w:r>
        <w:rPr>
          <w:rFonts w:hint="eastAsia"/>
        </w:rPr>
        <w:t>35</w:t>
      </w:r>
      <w:r>
        <w:rPr>
          <w:rFonts w:hint="eastAsia"/>
        </w:rPr>
        <w:t>美元），直到</w:t>
      </w:r>
      <w:r>
        <w:rPr>
          <w:rFonts w:hint="eastAsia"/>
        </w:rPr>
        <w:t>2021</w:t>
      </w:r>
      <w:r>
        <w:rPr>
          <w:rFonts w:hint="eastAsia"/>
        </w:rPr>
        <w:t>年税率为</w:t>
      </w:r>
      <w:r>
        <w:rPr>
          <w:rFonts w:hint="eastAsia"/>
        </w:rPr>
        <w:t>50</w:t>
      </w:r>
      <w:r>
        <w:rPr>
          <w:rFonts w:hint="eastAsia"/>
        </w:rPr>
        <w:t>美元每吨。</w:t>
      </w:r>
    </w:p>
    <w:p w14:paraId="194F91B5" w14:textId="77777777" w:rsidR="00DD1E0B" w:rsidRDefault="00C924F2">
      <w:pPr>
        <w:ind w:firstLine="480"/>
      </w:pPr>
      <w:r>
        <w:rPr>
          <w:rFonts w:hint="eastAsia"/>
        </w:rPr>
        <w:t>（</w:t>
      </w:r>
      <w:r>
        <w:rPr>
          <w:rFonts w:hint="eastAsia"/>
        </w:rPr>
        <w:t>2</w:t>
      </w:r>
      <w:r>
        <w:rPr>
          <w:rFonts w:hint="eastAsia"/>
        </w:rPr>
        <w:t>）省销售税法</w:t>
      </w:r>
    </w:p>
    <w:p w14:paraId="1C9598CF" w14:textId="77777777" w:rsidR="00DD1E0B" w:rsidRDefault="00C924F2">
      <w:pPr>
        <w:ind w:firstLine="480"/>
      </w:pPr>
      <w:r>
        <w:rPr>
          <w:rFonts w:hint="eastAsia"/>
        </w:rPr>
        <w:t>该预算法案宣布对省销售税法进行修改，包括采取以下措施：</w:t>
      </w:r>
    </w:p>
    <w:p w14:paraId="3213FEB0" w14:textId="77777777" w:rsidR="00DD1E0B" w:rsidRDefault="00C924F2">
      <w:pPr>
        <w:pStyle w:val="afd"/>
        <w:numPr>
          <w:ilvl w:val="0"/>
          <w:numId w:val="9"/>
        </w:numPr>
        <w:ind w:left="426" w:firstLineChars="0"/>
      </w:pPr>
      <w:r>
        <w:rPr>
          <w:rFonts w:hint="eastAsia"/>
        </w:rPr>
        <w:t>将购车价格标准从</w:t>
      </w:r>
      <w:r>
        <w:rPr>
          <w:rFonts w:hint="eastAsia"/>
        </w:rPr>
        <w:t>125000</w:t>
      </w:r>
      <w:r>
        <w:rPr>
          <w:rFonts w:hint="eastAsia"/>
        </w:rPr>
        <w:t>美元提高至</w:t>
      </w:r>
      <w:r>
        <w:rPr>
          <w:rFonts w:hint="eastAsia"/>
        </w:rPr>
        <w:t>149999</w:t>
      </w:r>
      <w:r>
        <w:rPr>
          <w:rFonts w:hint="eastAsia"/>
        </w:rPr>
        <w:t>美元，该价格适用豪华乘用车附加税从</w:t>
      </w:r>
      <w:r>
        <w:rPr>
          <w:rFonts w:hint="eastAsia"/>
        </w:rPr>
        <w:t>10</w:t>
      </w:r>
      <w:r>
        <w:rPr>
          <w:rFonts w:hint="eastAsia"/>
        </w:rPr>
        <w:t>％提高至</w:t>
      </w:r>
      <w:r>
        <w:rPr>
          <w:rFonts w:hint="eastAsia"/>
        </w:rPr>
        <w:t>15</w:t>
      </w:r>
      <w:r>
        <w:rPr>
          <w:rFonts w:hint="eastAsia"/>
        </w:rPr>
        <w:t>％，而购买价格为</w:t>
      </w:r>
      <w:r>
        <w:rPr>
          <w:rFonts w:hint="eastAsia"/>
        </w:rPr>
        <w:t>150000</w:t>
      </w:r>
      <w:r>
        <w:rPr>
          <w:rFonts w:hint="eastAsia"/>
        </w:rPr>
        <w:t>美元或更高的价格的豪</w:t>
      </w:r>
      <w:r>
        <w:rPr>
          <w:rFonts w:hint="eastAsia"/>
        </w:rPr>
        <w:t>华乘用车适用的税率从</w:t>
      </w:r>
      <w:r>
        <w:rPr>
          <w:rFonts w:hint="eastAsia"/>
        </w:rPr>
        <w:t>10</w:t>
      </w:r>
      <w:r>
        <w:rPr>
          <w:rFonts w:hint="eastAsia"/>
        </w:rPr>
        <w:t>％提高至</w:t>
      </w:r>
      <w:r>
        <w:rPr>
          <w:rFonts w:hint="eastAsia"/>
        </w:rPr>
        <w:t>20%</w:t>
      </w:r>
      <w:r>
        <w:rPr>
          <w:rFonts w:hint="eastAsia"/>
        </w:rPr>
        <w:t>，自</w:t>
      </w:r>
      <w:r>
        <w:rPr>
          <w:rFonts w:hint="eastAsia"/>
        </w:rPr>
        <w:t>2018</w:t>
      </w:r>
      <w:r>
        <w:rPr>
          <w:rFonts w:hint="eastAsia"/>
        </w:rPr>
        <w:t>年</w:t>
      </w:r>
      <w:r>
        <w:rPr>
          <w:rFonts w:hint="eastAsia"/>
        </w:rPr>
        <w:t>4</w:t>
      </w:r>
      <w:r>
        <w:rPr>
          <w:rFonts w:hint="eastAsia"/>
        </w:rPr>
        <w:t>月</w:t>
      </w:r>
      <w:r>
        <w:rPr>
          <w:rFonts w:hint="eastAsia"/>
        </w:rPr>
        <w:t>1</w:t>
      </w:r>
      <w:r>
        <w:rPr>
          <w:rFonts w:hint="eastAsia"/>
        </w:rPr>
        <w:t>日起生效；</w:t>
      </w:r>
    </w:p>
    <w:p w14:paraId="441E7656" w14:textId="77777777" w:rsidR="00DD1E0B" w:rsidRDefault="00C924F2">
      <w:pPr>
        <w:pStyle w:val="afd"/>
        <w:numPr>
          <w:ilvl w:val="0"/>
          <w:numId w:val="9"/>
        </w:numPr>
        <w:ind w:left="426" w:firstLineChars="0"/>
      </w:pPr>
      <w:r>
        <w:rPr>
          <w:rFonts w:hint="eastAsia"/>
        </w:rPr>
        <w:t>明确省销售税（</w:t>
      </w:r>
      <w:r>
        <w:rPr>
          <w:rFonts w:hint="eastAsia"/>
        </w:rPr>
        <w:t>PST</w:t>
      </w:r>
      <w:r>
        <w:rPr>
          <w:rFonts w:hint="eastAsia"/>
        </w:rPr>
        <w:t>，</w:t>
      </w:r>
      <w:r>
        <w:t>Provincial Sales Tax</w:t>
      </w:r>
      <w:r>
        <w:rPr>
          <w:rFonts w:hint="eastAsia"/>
        </w:rPr>
        <w:t>）适用于可选的按需维护协议中提供的软件，并且在本省水上游轮上运营的零售商无需在预定航程期间收取</w:t>
      </w:r>
      <w:r>
        <w:rPr>
          <w:rFonts w:hint="eastAsia"/>
        </w:rPr>
        <w:t>PST</w:t>
      </w:r>
      <w:r>
        <w:rPr>
          <w:rFonts w:hint="eastAsia"/>
        </w:rPr>
        <w:t>以进行销售，有效期可追溯至</w:t>
      </w:r>
      <w:r>
        <w:rPr>
          <w:rFonts w:hint="eastAsia"/>
        </w:rPr>
        <w:t>2013</w:t>
      </w:r>
      <w:r>
        <w:rPr>
          <w:rFonts w:hint="eastAsia"/>
        </w:rPr>
        <w:t>年</w:t>
      </w:r>
      <w:r>
        <w:rPr>
          <w:rFonts w:hint="eastAsia"/>
        </w:rPr>
        <w:t>4</w:t>
      </w:r>
      <w:r>
        <w:rPr>
          <w:rFonts w:hint="eastAsia"/>
        </w:rPr>
        <w:t>月</w:t>
      </w:r>
      <w:r>
        <w:rPr>
          <w:rFonts w:hint="eastAsia"/>
        </w:rPr>
        <w:t>1</w:t>
      </w:r>
      <w:r>
        <w:rPr>
          <w:rFonts w:hint="eastAsia"/>
        </w:rPr>
        <w:t>日；</w:t>
      </w:r>
    </w:p>
    <w:p w14:paraId="5FAE9742" w14:textId="77777777" w:rsidR="00DD1E0B" w:rsidRDefault="00C924F2">
      <w:pPr>
        <w:pStyle w:val="afd"/>
        <w:numPr>
          <w:ilvl w:val="0"/>
          <w:numId w:val="9"/>
        </w:numPr>
        <w:ind w:left="426" w:firstLineChars="0"/>
      </w:pPr>
      <w:r>
        <w:rPr>
          <w:rFonts w:hint="eastAsia"/>
        </w:rPr>
        <w:t>使在线住宿平台能够注册，收集和汇出</w:t>
      </w:r>
      <w:r>
        <w:rPr>
          <w:rFonts w:hint="eastAsia"/>
        </w:rPr>
        <w:t>PST</w:t>
      </w:r>
      <w:r>
        <w:rPr>
          <w:rFonts w:hint="eastAsia"/>
        </w:rPr>
        <w:t>以及短期住宿的市和地区税，且在规定的日期生效。</w:t>
      </w:r>
    </w:p>
    <w:p w14:paraId="47EDACE5" w14:textId="77777777" w:rsidR="00DD1E0B" w:rsidRDefault="00C924F2">
      <w:pPr>
        <w:ind w:firstLine="480"/>
      </w:pPr>
      <w:r>
        <w:rPr>
          <w:rFonts w:hint="eastAsia"/>
        </w:rPr>
        <w:t>（</w:t>
      </w:r>
      <w:r>
        <w:rPr>
          <w:rFonts w:hint="eastAsia"/>
        </w:rPr>
        <w:t>3</w:t>
      </w:r>
      <w:r>
        <w:rPr>
          <w:rFonts w:hint="eastAsia"/>
        </w:rPr>
        <w:t>）香烟税</w:t>
      </w:r>
    </w:p>
    <w:p w14:paraId="040EB8F1" w14:textId="77777777" w:rsidR="00DD1E0B" w:rsidRDefault="00C924F2">
      <w:pPr>
        <w:ind w:firstLine="480"/>
      </w:pPr>
      <w:r>
        <w:rPr>
          <w:rFonts w:hint="eastAsia"/>
        </w:rPr>
        <w:lastRenderedPageBreak/>
        <w:t>预算法案将卷烟的税率从每支卷烟</w:t>
      </w:r>
      <w:r>
        <w:rPr>
          <w:rFonts w:hint="eastAsia"/>
        </w:rPr>
        <w:t>24.7</w:t>
      </w:r>
      <w:r>
        <w:rPr>
          <w:rFonts w:hint="eastAsia"/>
        </w:rPr>
        <w:t>美分提高到每支卷烟</w:t>
      </w:r>
      <w:r>
        <w:rPr>
          <w:rFonts w:hint="eastAsia"/>
        </w:rPr>
        <w:t>27.5</w:t>
      </w:r>
      <w:r>
        <w:rPr>
          <w:rFonts w:hint="eastAsia"/>
        </w:rPr>
        <w:t>美分，每盒</w:t>
      </w:r>
      <w:r>
        <w:rPr>
          <w:rFonts w:hint="eastAsia"/>
        </w:rPr>
        <w:t>200</w:t>
      </w:r>
      <w:r>
        <w:rPr>
          <w:rFonts w:hint="eastAsia"/>
        </w:rPr>
        <w:t>支卷烟的税率从每箱</w:t>
      </w:r>
      <w:r>
        <w:rPr>
          <w:rFonts w:hint="eastAsia"/>
        </w:rPr>
        <w:t>49.40</w:t>
      </w:r>
      <w:r>
        <w:rPr>
          <w:rFonts w:hint="eastAsia"/>
        </w:rPr>
        <w:t>美元增加到</w:t>
      </w:r>
      <w:r>
        <w:rPr>
          <w:rFonts w:hint="eastAsia"/>
        </w:rPr>
        <w:t>55</w:t>
      </w:r>
      <w:r>
        <w:rPr>
          <w:rFonts w:hint="eastAsia"/>
        </w:rPr>
        <w:t>美元。此外，预算法案将宽松烟草的税率从每克</w:t>
      </w:r>
      <w:r>
        <w:rPr>
          <w:rFonts w:hint="eastAsia"/>
        </w:rPr>
        <w:t>24.7</w:t>
      </w:r>
      <w:r>
        <w:rPr>
          <w:rFonts w:hint="eastAsia"/>
        </w:rPr>
        <w:t>美分提高到每克</w:t>
      </w:r>
      <w:r>
        <w:rPr>
          <w:rFonts w:hint="eastAsia"/>
        </w:rPr>
        <w:t>37.5</w:t>
      </w:r>
      <w:r>
        <w:rPr>
          <w:rFonts w:hint="eastAsia"/>
        </w:rPr>
        <w:t>美分，这些更改将于</w:t>
      </w:r>
      <w:r>
        <w:rPr>
          <w:rFonts w:hint="eastAsia"/>
        </w:rPr>
        <w:t>2018</w:t>
      </w:r>
      <w:r>
        <w:rPr>
          <w:rFonts w:hint="eastAsia"/>
        </w:rPr>
        <w:t>年</w:t>
      </w:r>
      <w:r>
        <w:rPr>
          <w:rFonts w:hint="eastAsia"/>
        </w:rPr>
        <w:t>4</w:t>
      </w:r>
      <w:r>
        <w:rPr>
          <w:rFonts w:hint="eastAsia"/>
        </w:rPr>
        <w:t>月</w:t>
      </w:r>
      <w:r>
        <w:rPr>
          <w:rFonts w:hint="eastAsia"/>
        </w:rPr>
        <w:t>1</w:t>
      </w:r>
      <w:r>
        <w:rPr>
          <w:rFonts w:hint="eastAsia"/>
        </w:rPr>
        <w:t>日生效。</w:t>
      </w:r>
    </w:p>
    <w:p w14:paraId="43D9B0AB" w14:textId="77777777" w:rsidR="00DD1E0B" w:rsidRDefault="00C924F2">
      <w:pPr>
        <w:ind w:firstLine="480"/>
      </w:pPr>
      <w:r>
        <w:rPr>
          <w:rFonts w:hint="eastAsia"/>
        </w:rPr>
        <w:t>（</w:t>
      </w:r>
      <w:r>
        <w:rPr>
          <w:rFonts w:hint="eastAsia"/>
        </w:rPr>
        <w:t>4</w:t>
      </w:r>
      <w:r>
        <w:rPr>
          <w:rFonts w:hint="eastAsia"/>
        </w:rPr>
        <w:t>）燃油税</w:t>
      </w:r>
    </w:p>
    <w:p w14:paraId="115B7607" w14:textId="77777777" w:rsidR="00DD1E0B" w:rsidRDefault="00C924F2">
      <w:pPr>
        <w:ind w:firstLine="480"/>
      </w:pPr>
      <w:r>
        <w:rPr>
          <w:rFonts w:hint="eastAsia"/>
        </w:rPr>
        <w:t>预算包括对汽车燃油税法的修改，包括：</w:t>
      </w:r>
    </w:p>
    <w:p w14:paraId="7CCB9F37" w14:textId="77777777" w:rsidR="00DD1E0B" w:rsidRDefault="00C924F2">
      <w:pPr>
        <w:pStyle w:val="afd"/>
        <w:numPr>
          <w:ilvl w:val="0"/>
          <w:numId w:val="10"/>
        </w:numPr>
        <w:ind w:left="709" w:firstLineChars="0" w:hanging="567"/>
      </w:pPr>
      <w:r>
        <w:rPr>
          <w:rFonts w:hint="eastAsia"/>
        </w:rPr>
        <w:t>提高国际燃油税协议许可证持有者的退税率，以反映从</w:t>
      </w:r>
      <w:r>
        <w:rPr>
          <w:rFonts w:hint="eastAsia"/>
        </w:rPr>
        <w:t>2018</w:t>
      </w:r>
      <w:r>
        <w:rPr>
          <w:rFonts w:hint="eastAsia"/>
        </w:rPr>
        <w:t>年</w:t>
      </w:r>
      <w:r>
        <w:rPr>
          <w:rFonts w:hint="eastAsia"/>
        </w:rPr>
        <w:t>4</w:t>
      </w:r>
      <w:r>
        <w:rPr>
          <w:rFonts w:hint="eastAsia"/>
        </w:rPr>
        <w:t>月</w:t>
      </w:r>
      <w:r>
        <w:rPr>
          <w:rFonts w:hint="eastAsia"/>
        </w:rPr>
        <w:t>1</w:t>
      </w:r>
      <w:r>
        <w:rPr>
          <w:rFonts w:hint="eastAsia"/>
        </w:rPr>
        <w:t>日至</w:t>
      </w:r>
      <w:r>
        <w:rPr>
          <w:rFonts w:hint="eastAsia"/>
        </w:rPr>
        <w:t>2021</w:t>
      </w:r>
      <w:r>
        <w:rPr>
          <w:rFonts w:hint="eastAsia"/>
        </w:rPr>
        <w:t>年每年碳税的增长情况，确保被许可人仅支付其在英属哥伦比亚使用的燃料的碳税</w:t>
      </w:r>
    </w:p>
    <w:p w14:paraId="2AA7F56C" w14:textId="77777777" w:rsidR="00DD1E0B" w:rsidRDefault="00C924F2">
      <w:pPr>
        <w:pStyle w:val="afd"/>
        <w:numPr>
          <w:ilvl w:val="0"/>
          <w:numId w:val="10"/>
        </w:numPr>
        <w:ind w:left="709" w:firstLineChars="0" w:hanging="567"/>
      </w:pPr>
      <w:r>
        <w:rPr>
          <w:rFonts w:hint="eastAsia"/>
        </w:rPr>
        <w:t>从</w:t>
      </w:r>
      <w:r>
        <w:rPr>
          <w:rFonts w:hint="eastAsia"/>
        </w:rPr>
        <w:t>2018</w:t>
      </w:r>
      <w:r>
        <w:rPr>
          <w:rFonts w:hint="eastAsia"/>
        </w:rPr>
        <w:t>年</w:t>
      </w:r>
      <w:r>
        <w:rPr>
          <w:rFonts w:hint="eastAsia"/>
        </w:rPr>
        <w:t>4</w:t>
      </w:r>
      <w:r>
        <w:rPr>
          <w:rFonts w:hint="eastAsia"/>
        </w:rPr>
        <w:t>月</w:t>
      </w:r>
      <w:r>
        <w:rPr>
          <w:rFonts w:hint="eastAsia"/>
        </w:rPr>
        <w:t>1</w:t>
      </w:r>
      <w:r>
        <w:rPr>
          <w:rFonts w:hint="eastAsia"/>
        </w:rPr>
        <w:t>日开始，根据“海岸贸易法”免除船级联游轮中使用的船用柴油和禁止从事摩托艇贸易的船舶的汽车燃油税</w:t>
      </w:r>
    </w:p>
    <w:p w14:paraId="087EEE34" w14:textId="77777777" w:rsidR="00DD1E0B" w:rsidRDefault="00C924F2">
      <w:pPr>
        <w:pStyle w:val="afd"/>
        <w:numPr>
          <w:ilvl w:val="0"/>
          <w:numId w:val="10"/>
        </w:numPr>
        <w:ind w:left="709" w:firstLineChars="0" w:hanging="567"/>
      </w:pPr>
      <w:r>
        <w:rPr>
          <w:rFonts w:hint="eastAsia"/>
        </w:rPr>
        <w:t>自</w:t>
      </w:r>
      <w:r>
        <w:rPr>
          <w:rFonts w:hint="eastAsia"/>
        </w:rPr>
        <w:t>2018</w:t>
      </w:r>
      <w:r>
        <w:rPr>
          <w:rFonts w:hint="eastAsia"/>
        </w:rPr>
        <w:t>年</w:t>
      </w:r>
      <w:r>
        <w:rPr>
          <w:rFonts w:hint="eastAsia"/>
        </w:rPr>
        <w:t>4</w:t>
      </w:r>
      <w:r>
        <w:rPr>
          <w:rFonts w:hint="eastAsia"/>
        </w:rPr>
        <w:t>月</w:t>
      </w:r>
      <w:r>
        <w:rPr>
          <w:rFonts w:hint="eastAsia"/>
        </w:rPr>
        <w:t>1</w:t>
      </w:r>
      <w:r>
        <w:rPr>
          <w:rFonts w:hint="eastAsia"/>
        </w:rPr>
        <w:t>日起，将首府地区（</w:t>
      </w:r>
      <w:r>
        <w:t>Capital Regional District</w:t>
      </w:r>
      <w:r>
        <w:rPr>
          <w:rFonts w:hint="eastAsia"/>
        </w:rPr>
        <w:t>）内清澈汽油和清澈柴油的机动车燃油税从每升</w:t>
      </w:r>
      <w:r>
        <w:rPr>
          <w:rFonts w:hint="eastAsia"/>
        </w:rPr>
        <w:t>3.5</w:t>
      </w:r>
      <w:r>
        <w:rPr>
          <w:rFonts w:hint="eastAsia"/>
        </w:rPr>
        <w:t>美分提高至每升</w:t>
      </w:r>
      <w:r>
        <w:rPr>
          <w:rFonts w:hint="eastAsia"/>
        </w:rPr>
        <w:t>5.5</w:t>
      </w:r>
      <w:r>
        <w:rPr>
          <w:rFonts w:hint="eastAsia"/>
        </w:rPr>
        <w:t>美分。</w:t>
      </w:r>
    </w:p>
    <w:p w14:paraId="0884FCB0" w14:textId="77777777" w:rsidR="00DD1E0B" w:rsidRDefault="00C924F2">
      <w:pPr>
        <w:pStyle w:val="3"/>
      </w:pPr>
      <w:r>
        <w:t>1.</w:t>
      </w:r>
      <w:r>
        <w:rPr>
          <w:rFonts w:hint="eastAsia"/>
        </w:rPr>
        <w:t>3</w:t>
      </w:r>
      <w:r>
        <w:t xml:space="preserve">.2 </w:t>
      </w:r>
      <w:r>
        <w:t>背景及评价</w:t>
      </w:r>
    </w:p>
    <w:p w14:paraId="70DE9D76" w14:textId="77777777" w:rsidR="00DD1E0B" w:rsidRDefault="00C924F2">
      <w:pPr>
        <w:pStyle w:val="ae"/>
      </w:pPr>
      <w:r>
        <w:t>1.</w:t>
      </w:r>
      <w:r>
        <w:rPr>
          <w:rFonts w:hint="eastAsia"/>
        </w:rPr>
        <w:t>3</w:t>
      </w:r>
      <w:r>
        <w:t xml:space="preserve">.2.1 </w:t>
      </w:r>
      <w:r>
        <w:t>背景</w:t>
      </w:r>
      <w:r>
        <w:rPr>
          <w:rStyle w:val="af9"/>
          <w:rFonts w:eastAsiaTheme="minorEastAsia" w:cs="Times New Roman"/>
          <w:szCs w:val="24"/>
        </w:rPr>
        <w:footnoteReference w:id="10"/>
      </w:r>
    </w:p>
    <w:p w14:paraId="1F4037F2" w14:textId="77777777" w:rsidR="00DD1E0B" w:rsidRDefault="00C924F2">
      <w:pPr>
        <w:ind w:firstLine="480"/>
      </w:pPr>
      <w:r>
        <w:rPr>
          <w:rFonts w:hint="eastAsia"/>
        </w:rPr>
        <w:t>在不列颠哥伦比亚去年的省级预算法案中，预计盈余为</w:t>
      </w:r>
      <w:r>
        <w:rPr>
          <w:rFonts w:hint="eastAsia"/>
        </w:rPr>
        <w:t>2</w:t>
      </w:r>
      <w:r>
        <w:rPr>
          <w:rFonts w:hint="eastAsia"/>
        </w:rPr>
        <w:t>亿</w:t>
      </w:r>
      <w:r>
        <w:rPr>
          <w:rFonts w:hint="eastAsia"/>
        </w:rPr>
        <w:t>9500</w:t>
      </w:r>
      <w:r>
        <w:rPr>
          <w:rFonts w:hint="eastAsia"/>
        </w:rPr>
        <w:t>万美元。且由于宣布了新的额外支出，因此这一盈余数字预计将在未来三年有所下降。医疗服务费将从</w:t>
      </w:r>
      <w:r>
        <w:rPr>
          <w:rFonts w:hint="eastAsia"/>
        </w:rPr>
        <w:t>2018</w:t>
      </w:r>
      <w:r>
        <w:rPr>
          <w:rFonts w:hint="eastAsia"/>
        </w:rPr>
        <w:t>年</w:t>
      </w:r>
      <w:r>
        <w:rPr>
          <w:rFonts w:hint="eastAsia"/>
        </w:rPr>
        <w:t>1</w:t>
      </w:r>
      <w:r>
        <w:rPr>
          <w:rFonts w:hint="eastAsia"/>
        </w:rPr>
        <w:t>月</w:t>
      </w:r>
      <w:r>
        <w:rPr>
          <w:rFonts w:hint="eastAsia"/>
        </w:rPr>
        <w:t>1</w:t>
      </w:r>
      <w:r>
        <w:rPr>
          <w:rFonts w:hint="eastAsia"/>
        </w:rPr>
        <w:t>日开始下调，年净收入高</w:t>
      </w:r>
      <w:r>
        <w:rPr>
          <w:rFonts w:hint="eastAsia"/>
        </w:rPr>
        <w:t>达</w:t>
      </w:r>
      <w:r>
        <w:rPr>
          <w:rFonts w:hint="eastAsia"/>
        </w:rPr>
        <w:t>120000</w:t>
      </w:r>
      <w:r>
        <w:rPr>
          <w:rFonts w:hint="eastAsia"/>
        </w:rPr>
        <w:t>美元的家庭的降低幅度将达到</w:t>
      </w:r>
      <w:r>
        <w:rPr>
          <w:rFonts w:hint="eastAsia"/>
        </w:rPr>
        <w:t>50</w:t>
      </w:r>
      <w:r>
        <w:rPr>
          <w:rFonts w:hint="eastAsia"/>
        </w:rPr>
        <w:t>％，即一个典型的四口家庭在下一年的医疗服务费将减少</w:t>
      </w:r>
      <w:r>
        <w:rPr>
          <w:rFonts w:hint="eastAsia"/>
        </w:rPr>
        <w:t>900</w:t>
      </w:r>
      <w:r>
        <w:rPr>
          <w:rFonts w:hint="eastAsia"/>
        </w:rPr>
        <w:t>美元，目的是为了在一定程度上消除医疗服务费，</w:t>
      </w:r>
      <w:r>
        <w:rPr>
          <w:rFonts w:hint="eastAsia"/>
        </w:rPr>
        <w:t>2018</w:t>
      </w:r>
      <w:r>
        <w:rPr>
          <w:rFonts w:hint="eastAsia"/>
        </w:rPr>
        <w:t>年新预算法案与之一致</w:t>
      </w:r>
      <w:r>
        <w:rPr>
          <w:rFonts w:hint="eastAsia"/>
        </w:rPr>
        <w:t>2017</w:t>
      </w:r>
      <w:r>
        <w:rPr>
          <w:rFonts w:hint="eastAsia"/>
        </w:rPr>
        <w:t>年的预算宣布在未来两年内，省营业销售电力税将逐步取消，</w:t>
      </w:r>
      <w:r>
        <w:rPr>
          <w:rFonts w:hint="eastAsia"/>
        </w:rPr>
        <w:t>2019-2020</w:t>
      </w:r>
      <w:r>
        <w:rPr>
          <w:rFonts w:hint="eastAsia"/>
        </w:rPr>
        <w:t>年预计可节省</w:t>
      </w:r>
      <w:r>
        <w:rPr>
          <w:rFonts w:hint="eastAsia"/>
        </w:rPr>
        <w:t>1</w:t>
      </w:r>
      <w:r>
        <w:rPr>
          <w:rFonts w:hint="eastAsia"/>
        </w:rPr>
        <w:t>亿</w:t>
      </w:r>
      <w:r>
        <w:rPr>
          <w:rFonts w:hint="eastAsia"/>
        </w:rPr>
        <w:t>6400</w:t>
      </w:r>
      <w:r>
        <w:rPr>
          <w:rFonts w:hint="eastAsia"/>
        </w:rPr>
        <w:t>万美元，将小企业所得税税率将从</w:t>
      </w:r>
      <w:r>
        <w:rPr>
          <w:rFonts w:hint="eastAsia"/>
        </w:rPr>
        <w:t>2.5%</w:t>
      </w:r>
      <w:r>
        <w:rPr>
          <w:rFonts w:hint="eastAsia"/>
        </w:rPr>
        <w:t>降至</w:t>
      </w:r>
      <w:r>
        <w:rPr>
          <w:rFonts w:hint="eastAsia"/>
        </w:rPr>
        <w:t>2</w:t>
      </w:r>
      <w:r>
        <w:rPr>
          <w:rFonts w:hint="eastAsia"/>
        </w:rPr>
        <w:t>％。该省将增加财产转让税门槛至</w:t>
      </w:r>
      <w:r>
        <w:rPr>
          <w:rFonts w:hint="eastAsia"/>
        </w:rPr>
        <w:t>500000</w:t>
      </w:r>
      <w:r>
        <w:rPr>
          <w:rFonts w:hint="eastAsia"/>
        </w:rPr>
        <w:t>美元的公允市场价值，为首次购房者购买第一套房时节省高达</w:t>
      </w:r>
      <w:r>
        <w:rPr>
          <w:rFonts w:hint="eastAsia"/>
        </w:rPr>
        <w:t>8000</w:t>
      </w:r>
      <w:r>
        <w:rPr>
          <w:rFonts w:hint="eastAsia"/>
        </w:rPr>
        <w:t>美元的财产转移税</w:t>
      </w:r>
      <w:r>
        <w:rPr>
          <w:rStyle w:val="af9"/>
          <w:rFonts w:eastAsiaTheme="minorEastAsia" w:cs="Times New Roman"/>
          <w:szCs w:val="24"/>
        </w:rPr>
        <w:footnoteReference w:id="11"/>
      </w:r>
      <w:r>
        <w:rPr>
          <w:rFonts w:hint="eastAsia"/>
        </w:rPr>
        <w:t>。</w:t>
      </w:r>
    </w:p>
    <w:p w14:paraId="3E223AA5" w14:textId="77777777" w:rsidR="00DD1E0B" w:rsidRDefault="00C924F2">
      <w:pPr>
        <w:ind w:firstLine="480"/>
      </w:pPr>
      <w:r>
        <w:rPr>
          <w:rFonts w:hint="eastAsia"/>
        </w:rPr>
        <w:t>但是加拿大近年来房价持续大涨，不列颠哥伦比亚省则处于领涨地位，该省</w:t>
      </w:r>
      <w:r>
        <w:rPr>
          <w:rFonts w:hint="eastAsia"/>
        </w:rPr>
        <w:t>也是该国第一个出台调控政策的省份，在</w:t>
      </w:r>
      <w:r>
        <w:rPr>
          <w:rFonts w:hint="eastAsia"/>
        </w:rPr>
        <w:t>2016</w:t>
      </w:r>
      <w:r>
        <w:rPr>
          <w:rFonts w:hint="eastAsia"/>
        </w:rPr>
        <w:t>年夏天，在房价在此前一年以</w:t>
      </w:r>
      <w:r>
        <w:rPr>
          <w:rFonts w:hint="eastAsia"/>
        </w:rPr>
        <w:t>30%</w:t>
      </w:r>
      <w:r>
        <w:rPr>
          <w:rFonts w:hint="eastAsia"/>
        </w:rPr>
        <w:t>幅度上涨后，该省政府对大温哥华地区的外国购房者开征</w:t>
      </w:r>
      <w:r>
        <w:rPr>
          <w:rFonts w:hint="eastAsia"/>
        </w:rPr>
        <w:t>15%</w:t>
      </w:r>
      <w:r>
        <w:rPr>
          <w:rFonts w:hint="eastAsia"/>
        </w:rPr>
        <w:t>的转让税，此后房</w:t>
      </w:r>
      <w:r>
        <w:rPr>
          <w:rFonts w:hint="eastAsia"/>
        </w:rPr>
        <w:lastRenderedPageBreak/>
        <w:t>价立即出现下跌，但后来新政效果渐退。今年</w:t>
      </w:r>
      <w:r>
        <w:rPr>
          <w:rFonts w:hint="eastAsia"/>
        </w:rPr>
        <w:t>1</w:t>
      </w:r>
      <w:r>
        <w:rPr>
          <w:rFonts w:hint="eastAsia"/>
        </w:rPr>
        <w:t>月，温哥华住宅房的基准价格为</w:t>
      </w:r>
      <w:r>
        <w:rPr>
          <w:rFonts w:hint="eastAsia"/>
        </w:rPr>
        <w:t>106</w:t>
      </w:r>
      <w:r>
        <w:rPr>
          <w:rFonts w:hint="eastAsia"/>
        </w:rPr>
        <w:t>万加元（</w:t>
      </w:r>
      <w:r>
        <w:rPr>
          <w:rFonts w:hint="eastAsia"/>
        </w:rPr>
        <w:t>83.7</w:t>
      </w:r>
      <w:r>
        <w:rPr>
          <w:rFonts w:hint="eastAsia"/>
        </w:rPr>
        <w:t>万美元），同比上涨</w:t>
      </w:r>
      <w:r>
        <w:rPr>
          <w:rFonts w:hint="eastAsia"/>
        </w:rPr>
        <w:t>17%</w:t>
      </w:r>
      <w:r>
        <w:rPr>
          <w:rFonts w:hint="eastAsia"/>
        </w:rPr>
        <w:t>，较</w:t>
      </w:r>
      <w:r>
        <w:rPr>
          <w:rFonts w:hint="eastAsia"/>
        </w:rPr>
        <w:t>5</w:t>
      </w:r>
      <w:r>
        <w:rPr>
          <w:rFonts w:hint="eastAsia"/>
        </w:rPr>
        <w:t>年前的价格更是上涨了</w:t>
      </w:r>
      <w:r>
        <w:rPr>
          <w:rFonts w:hint="eastAsia"/>
        </w:rPr>
        <w:t>80%</w:t>
      </w:r>
      <w:r>
        <w:rPr>
          <w:rFonts w:hint="eastAsia"/>
        </w:rPr>
        <w:t>。对那些扭曲楼市的投机者们，我们将重拳出击。”</w:t>
      </w:r>
      <w:r>
        <w:rPr>
          <w:rFonts w:hint="eastAsia"/>
        </w:rPr>
        <w:t xml:space="preserve"> </w:t>
      </w:r>
      <w:r>
        <w:rPr>
          <w:rFonts w:hint="eastAsia"/>
        </w:rPr>
        <w:t>该省的财政部长</w:t>
      </w:r>
      <w:r>
        <w:rPr>
          <w:rFonts w:hint="eastAsia"/>
        </w:rPr>
        <w:t>Carole James</w:t>
      </w:r>
      <w:r>
        <w:rPr>
          <w:rFonts w:hint="eastAsia"/>
        </w:rPr>
        <w:t>在</w:t>
      </w:r>
      <w:r>
        <w:rPr>
          <w:rFonts w:hint="eastAsia"/>
        </w:rPr>
        <w:t>2</w:t>
      </w:r>
      <w:r>
        <w:rPr>
          <w:rFonts w:hint="eastAsia"/>
        </w:rPr>
        <w:t>月</w:t>
      </w:r>
      <w:r>
        <w:rPr>
          <w:rFonts w:hint="eastAsia"/>
        </w:rPr>
        <w:t>20</w:t>
      </w:r>
      <w:r>
        <w:rPr>
          <w:rFonts w:hint="eastAsia"/>
        </w:rPr>
        <w:t>日发布的一份声明中表示</w:t>
      </w:r>
      <w:r>
        <w:rPr>
          <w:rStyle w:val="af9"/>
          <w:rFonts w:eastAsiaTheme="minorEastAsia" w:cs="Times New Roman"/>
          <w:szCs w:val="24"/>
        </w:rPr>
        <w:footnoteReference w:id="12"/>
      </w:r>
      <w:r>
        <w:rPr>
          <w:rFonts w:hint="eastAsia"/>
        </w:rPr>
        <w:t>。</w:t>
      </w:r>
    </w:p>
    <w:p w14:paraId="5D101573" w14:textId="77777777" w:rsidR="00DD1E0B" w:rsidRDefault="00C924F2">
      <w:pPr>
        <w:pStyle w:val="ae"/>
      </w:pPr>
      <w:r>
        <w:t>1.</w:t>
      </w:r>
      <w:r>
        <w:rPr>
          <w:rFonts w:hint="eastAsia"/>
        </w:rPr>
        <w:t>3</w:t>
      </w:r>
      <w:r>
        <w:t xml:space="preserve">.2.2 </w:t>
      </w:r>
      <w:r>
        <w:t>评价</w:t>
      </w:r>
      <w:r>
        <w:rPr>
          <w:rStyle w:val="af9"/>
          <w:rFonts w:eastAsiaTheme="minorEastAsia" w:cs="Times New Roman"/>
          <w:szCs w:val="24"/>
        </w:rPr>
        <w:footnoteReference w:id="13"/>
      </w:r>
    </w:p>
    <w:p w14:paraId="0C456F8D" w14:textId="77777777" w:rsidR="00DD1E0B" w:rsidRDefault="00C924F2">
      <w:pPr>
        <w:ind w:firstLine="480"/>
      </w:pPr>
      <w:r>
        <w:rPr>
          <w:rFonts w:hint="eastAsia"/>
        </w:rPr>
        <w:t>在不列颠哥伦比亚省</w:t>
      </w:r>
      <w:r>
        <w:rPr>
          <w:rFonts w:hint="eastAsia"/>
        </w:rPr>
        <w:t>2018</w:t>
      </w:r>
      <w:r>
        <w:rPr>
          <w:rFonts w:hint="eastAsia"/>
        </w:rPr>
        <w:t>年的预算案中，很明显的看到政府为了调控当地</w:t>
      </w:r>
      <w:r>
        <w:rPr>
          <w:rFonts w:hint="eastAsia"/>
        </w:rPr>
        <w:t>楼市出台了一系列新的税收政策。自</w:t>
      </w:r>
      <w:r>
        <w:rPr>
          <w:rFonts w:hint="eastAsia"/>
        </w:rPr>
        <w:t>2018</w:t>
      </w:r>
      <w:r>
        <w:rPr>
          <w:rFonts w:hint="eastAsia"/>
        </w:rPr>
        <w:t>年</w:t>
      </w:r>
      <w:r>
        <w:rPr>
          <w:rFonts w:hint="eastAsia"/>
        </w:rPr>
        <w:t>2</w:t>
      </w:r>
      <w:r>
        <w:rPr>
          <w:rFonts w:hint="eastAsia"/>
        </w:rPr>
        <w:t>月</w:t>
      </w:r>
      <w:r>
        <w:rPr>
          <w:rFonts w:hint="eastAsia"/>
        </w:rPr>
        <w:t>21</w:t>
      </w:r>
      <w:r>
        <w:rPr>
          <w:rFonts w:hint="eastAsia"/>
        </w:rPr>
        <w:t>日起，外籍个人和外国公司在当地部分区域购房时（购买房产的权益达</w:t>
      </w:r>
      <w:r>
        <w:rPr>
          <w:rFonts w:hint="eastAsia"/>
        </w:rPr>
        <w:t>70%</w:t>
      </w:r>
      <w:r>
        <w:rPr>
          <w:rFonts w:hint="eastAsia"/>
        </w:rPr>
        <w:t>时），将缴纳</w:t>
      </w:r>
      <w:r>
        <w:rPr>
          <w:rFonts w:hint="eastAsia"/>
        </w:rPr>
        <w:t>20%</w:t>
      </w:r>
      <w:r>
        <w:rPr>
          <w:rFonts w:hint="eastAsia"/>
        </w:rPr>
        <w:t>的房产转让税，之前为</w:t>
      </w:r>
      <w:r>
        <w:rPr>
          <w:rFonts w:hint="eastAsia"/>
        </w:rPr>
        <w:t>15%</w:t>
      </w:r>
      <w:r>
        <w:rPr>
          <w:rFonts w:hint="eastAsia"/>
        </w:rPr>
        <w:t>，并将征收范围由大温哥华地区扩大至了</w:t>
      </w:r>
      <w:r>
        <w:rPr>
          <w:rFonts w:hint="eastAsia"/>
        </w:rPr>
        <w:t>Fraser</w:t>
      </w:r>
      <w:r>
        <w:rPr>
          <w:rFonts w:hint="eastAsia"/>
        </w:rPr>
        <w:t>峡谷等地区。另外，该省政府还推出了全新的房产投机税，那些不在当地缴税的外籍和本土的投机者将成为征收对象，其中包括了那些购房后空置的案例，还有卫星家庭案例即那些全球收入广泛，但在该省缴纳很低收入税的家庭。除了上述新政外，该省还将上调针对价值</w:t>
      </w:r>
      <w:r>
        <w:rPr>
          <w:rFonts w:hint="eastAsia"/>
        </w:rPr>
        <w:t>3</w:t>
      </w:r>
      <w:r>
        <w:rPr>
          <w:rFonts w:hint="eastAsia"/>
        </w:rPr>
        <w:t>百万美元以上房产交易的转让税，并加强对于虚假申报等偷税漏税行为</w:t>
      </w:r>
      <w:r>
        <w:rPr>
          <w:rFonts w:hint="eastAsia"/>
        </w:rPr>
        <w:t>的监督等。这是该省不到两年内，第二次出手调控外国人购房政策。可以预测，中产家庭打算购买的房子的价格，将由于增税而会稍降，但购房的税收增加，最后对于购房者来说，购房成本可能打个平手。但对于那些出于个人或职业需求铁定要来温哥华的高收入家庭，增税不增税对他们影响不大。但对于那些出于个人或职业需求铁定要来温哥华的高收入家庭，增税不增税对他们影响不大。</w:t>
      </w:r>
    </w:p>
    <w:p w14:paraId="5ED52E71" w14:textId="77777777" w:rsidR="00DD1E0B" w:rsidRDefault="00DD1E0B">
      <w:pPr>
        <w:ind w:firstLineChars="0" w:firstLine="0"/>
        <w:rPr>
          <w:rFonts w:eastAsiaTheme="minorEastAsia" w:cs="Times New Roman"/>
          <w:szCs w:val="24"/>
        </w:rPr>
      </w:pPr>
    </w:p>
    <w:p w14:paraId="33638410" w14:textId="77777777" w:rsidR="00DD1E0B" w:rsidRDefault="00C924F2">
      <w:pPr>
        <w:pStyle w:val="1"/>
      </w:pPr>
      <w:bookmarkStart w:id="8" w:name="_Toc508835194"/>
      <w:r>
        <w:t xml:space="preserve">2 </w:t>
      </w:r>
      <w:r>
        <w:rPr>
          <w:rFonts w:hint="eastAsia"/>
        </w:rPr>
        <w:t>乌拉圭</w:t>
      </w:r>
      <w:bookmarkEnd w:id="8"/>
    </w:p>
    <w:p w14:paraId="0BCE1994" w14:textId="77777777" w:rsidR="00DD1E0B" w:rsidRDefault="00DD1E0B">
      <w:pPr>
        <w:ind w:firstLine="480"/>
        <w:rPr>
          <w:rFonts w:eastAsiaTheme="minorEastAsia" w:cs="Times New Roman"/>
          <w:szCs w:val="24"/>
        </w:rPr>
      </w:pPr>
    </w:p>
    <w:p w14:paraId="7CB80C58" w14:textId="77777777" w:rsidR="00DD1E0B" w:rsidRDefault="00C924F2">
      <w:pPr>
        <w:pStyle w:val="2"/>
        <w:rPr>
          <w:b w:val="0"/>
        </w:rPr>
      </w:pPr>
      <w:bookmarkStart w:id="9" w:name="_Toc508835195"/>
      <w:r>
        <w:t xml:space="preserve">2.1 </w:t>
      </w:r>
      <w:r>
        <w:rPr>
          <w:rFonts w:hint="eastAsia"/>
        </w:rPr>
        <w:t>投资项目资产在使用寿命结束前销售的税收处理</w:t>
      </w:r>
      <w:bookmarkEnd w:id="9"/>
    </w:p>
    <w:p w14:paraId="3BBE740B" w14:textId="77777777" w:rsidR="00DD1E0B" w:rsidRDefault="00C924F2">
      <w:pPr>
        <w:pStyle w:val="3"/>
      </w:pPr>
      <w:r>
        <w:t xml:space="preserve">2.1.1 </w:t>
      </w:r>
      <w:r>
        <w:t>内容</w:t>
      </w:r>
    </w:p>
    <w:p w14:paraId="1476AF61" w14:textId="77777777" w:rsidR="00DD1E0B" w:rsidRDefault="00C924F2">
      <w:pPr>
        <w:ind w:firstLine="480"/>
        <w:rPr>
          <w:shd w:val="clear" w:color="auto" w:fill="FFFFFF"/>
        </w:rPr>
      </w:pPr>
      <w:r>
        <w:rPr>
          <w:rFonts w:hint="eastAsia"/>
          <w:shd w:val="clear" w:color="auto" w:fill="FFFFFF"/>
        </w:rPr>
        <w:t>为了解决投资项目中使用的资产在资产的使用年限结束前出售或在资产的使用年限大于</w:t>
      </w:r>
      <w:r>
        <w:rPr>
          <w:rFonts w:hint="eastAsia"/>
          <w:shd w:val="clear" w:color="auto" w:fill="FFFFFF"/>
        </w:rPr>
        <w:t>10</w:t>
      </w:r>
      <w:r>
        <w:rPr>
          <w:rFonts w:hint="eastAsia"/>
          <w:shd w:val="clear" w:color="auto" w:fill="FFFFFF"/>
        </w:rPr>
        <w:t>年的情况下在</w:t>
      </w:r>
      <w:r>
        <w:rPr>
          <w:rFonts w:hint="eastAsia"/>
          <w:shd w:val="clear" w:color="auto" w:fill="FFFFFF"/>
        </w:rPr>
        <w:t>10</w:t>
      </w:r>
      <w:r>
        <w:rPr>
          <w:rFonts w:hint="eastAsia"/>
          <w:shd w:val="clear" w:color="auto" w:fill="FFFFFF"/>
        </w:rPr>
        <w:t>年期限届满前出售的税务处理问题，乌拉圭政府颁布了第</w:t>
      </w:r>
      <w:r>
        <w:rPr>
          <w:rFonts w:hint="eastAsia"/>
          <w:shd w:val="clear" w:color="auto" w:fill="FFFFFF"/>
        </w:rPr>
        <w:t>9/017</w:t>
      </w:r>
      <w:r>
        <w:rPr>
          <w:rFonts w:hint="eastAsia"/>
          <w:shd w:val="clear" w:color="auto" w:fill="FFFFFF"/>
        </w:rPr>
        <w:t>号通函</w:t>
      </w:r>
      <w:r>
        <w:rPr>
          <w:rStyle w:val="af9"/>
          <w:rFonts w:eastAsiaTheme="minorEastAsia" w:cs="Times New Roman"/>
          <w:color w:val="333333"/>
          <w:shd w:val="clear" w:color="auto" w:fill="FFFFFF"/>
        </w:rPr>
        <w:footnoteReference w:id="14"/>
      </w:r>
      <w:r>
        <w:rPr>
          <w:rFonts w:hint="eastAsia"/>
          <w:shd w:val="clear" w:color="auto" w:fill="FFFFFF"/>
        </w:rPr>
        <w:t>。</w:t>
      </w:r>
    </w:p>
    <w:p w14:paraId="3EF5E10F" w14:textId="77777777" w:rsidR="00DD1E0B" w:rsidRDefault="00C924F2">
      <w:pPr>
        <w:ind w:firstLine="480"/>
      </w:pPr>
      <w:r>
        <w:rPr>
          <w:rFonts w:hint="eastAsia"/>
        </w:rPr>
        <w:lastRenderedPageBreak/>
        <w:t>按照乌拉圭第</w:t>
      </w:r>
      <w:r>
        <w:rPr>
          <w:rFonts w:hint="eastAsia"/>
        </w:rPr>
        <w:t>2</w:t>
      </w:r>
      <w:r>
        <w:t>2</w:t>
      </w:r>
      <w:r>
        <w:rPr>
          <w:rFonts w:hint="eastAsia"/>
        </w:rPr>
        <w:t>/012</w:t>
      </w:r>
      <w:r>
        <w:rPr>
          <w:rFonts w:hint="eastAsia"/>
        </w:rPr>
        <w:t>号法令第</w:t>
      </w:r>
      <w:r>
        <w:rPr>
          <w:rFonts w:hint="eastAsia"/>
        </w:rPr>
        <w:t>13</w:t>
      </w:r>
      <w:r>
        <w:rPr>
          <w:rFonts w:hint="eastAsia"/>
        </w:rPr>
        <w:t>条规定，在获得税收优惠待遇的投资项目中使用的资产必须在其使用寿命结束时保持不变，或者在资产使用寿命更长的情况下折旧保持</w:t>
      </w:r>
      <w:r>
        <w:rPr>
          <w:rFonts w:hint="eastAsia"/>
        </w:rPr>
        <w:t>10</w:t>
      </w:r>
      <w:r>
        <w:rPr>
          <w:rFonts w:hint="eastAsia"/>
        </w:rPr>
        <w:t>年。如果纳税人在可使用年限结束前出售这些资产，则会根据与资产使用寿命剩余期限相对应的百分比征税。但是，如果出售资产被类似资产取代，则不需要进行调整，只要授予适当的授权即可，该授权程序为全面评估程序（</w:t>
      </w:r>
      <w:r>
        <w:t>COMAP</w:t>
      </w:r>
      <w:r>
        <w:rPr>
          <w:rFonts w:hint="eastAsia"/>
        </w:rPr>
        <w:t>，</w:t>
      </w:r>
      <w:r>
        <w:t>Comprehensive mitigation ass</w:t>
      </w:r>
      <w:r>
        <w:t>essment process</w:t>
      </w:r>
      <w:r>
        <w:rPr>
          <w:rFonts w:hint="eastAsia"/>
        </w:rPr>
        <w:t>）。该通函规定了纳税人如何确定出售资产实际使用的百分比，以确定应纳税额。如果转让的资产不超过相应投资项目中作为免税对象的固定资产价值的</w:t>
      </w:r>
      <w:r>
        <w:rPr>
          <w:rFonts w:hint="eastAsia"/>
        </w:rPr>
        <w:t>5</w:t>
      </w:r>
      <w:r>
        <w:rPr>
          <w:rFonts w:hint="eastAsia"/>
        </w:rPr>
        <w:t>％，则不需要通过</w:t>
      </w:r>
      <w:r>
        <w:rPr>
          <w:rFonts w:hint="eastAsia"/>
        </w:rPr>
        <w:t>COMAP</w:t>
      </w:r>
      <w:r>
        <w:rPr>
          <w:rFonts w:hint="eastAsia"/>
        </w:rPr>
        <w:t>的授权。上述通知明确规定，被豁免的资产所产生的股权税和增值税的退税不适用。</w:t>
      </w:r>
    </w:p>
    <w:p w14:paraId="79C7DE01" w14:textId="77777777" w:rsidR="00DD1E0B" w:rsidRDefault="00C924F2">
      <w:pPr>
        <w:ind w:firstLine="480"/>
      </w:pPr>
      <w:r>
        <w:rPr>
          <w:rFonts w:hint="eastAsia"/>
        </w:rPr>
        <w:t>为了确定出售受益于货物或物品必须支付的税收金额，必须考虑资产的购置成本乘以实际使用的免税百分比以及转让日期剩余使用寿命的百分比。</w:t>
      </w:r>
    </w:p>
    <w:p w14:paraId="039CB93D" w14:textId="77777777" w:rsidR="00DD1E0B" w:rsidRDefault="00C924F2">
      <w:pPr>
        <w:ind w:firstLine="480"/>
      </w:pPr>
      <w:r>
        <w:rPr>
          <w:rFonts w:hint="eastAsia"/>
        </w:rPr>
        <w:t>为确定实际使用的免税百分比，通函规定如下</w:t>
      </w:r>
      <w:r>
        <w:rPr>
          <w:rStyle w:val="af9"/>
          <w:rFonts w:eastAsiaTheme="minorEastAsia" w:cs="Times New Roman"/>
          <w:szCs w:val="24"/>
        </w:rPr>
        <w:footnoteReference w:id="15"/>
      </w:r>
      <w:r>
        <w:rPr>
          <w:rFonts w:hint="eastAsia"/>
        </w:rPr>
        <w:t>：</w:t>
      </w:r>
    </w:p>
    <w:p w14:paraId="41335FCD" w14:textId="77777777" w:rsidR="00DD1E0B" w:rsidRDefault="00C924F2">
      <w:pPr>
        <w:pStyle w:val="afd"/>
        <w:numPr>
          <w:ilvl w:val="0"/>
          <w:numId w:val="11"/>
        </w:numPr>
        <w:ind w:left="284" w:firstLineChars="0" w:hanging="284"/>
      </w:pPr>
      <w:r>
        <w:rPr>
          <w:rFonts w:hint="eastAsia"/>
        </w:rPr>
        <w:t>在充分利用经济活动所得税（</w:t>
      </w:r>
      <w:r>
        <w:rPr>
          <w:rFonts w:hint="eastAsia"/>
        </w:rPr>
        <w:t>I</w:t>
      </w:r>
      <w:r>
        <w:t>RAE</w:t>
      </w:r>
      <w:r>
        <w:rPr>
          <w:rFonts w:hint="eastAsia"/>
        </w:rPr>
        <w:t>，</w:t>
      </w:r>
      <w:r>
        <w:t>Impuesto a las R</w:t>
      </w:r>
      <w:r>
        <w:t>entas de las Actividades Económicas</w:t>
      </w:r>
      <w:r>
        <w:rPr>
          <w:rFonts w:hint="eastAsia"/>
        </w:rPr>
        <w:t>）利益的项目中，考虑了获得豁免的百分比。需要记住的是，行政部门根据预计投资额的百分比并根据指标矩阵中得到的分数给予免税；</w:t>
      </w:r>
    </w:p>
    <w:p w14:paraId="6AEF1802" w14:textId="77777777" w:rsidR="00DD1E0B" w:rsidRDefault="00C924F2">
      <w:pPr>
        <w:pStyle w:val="afd"/>
        <w:numPr>
          <w:ilvl w:val="0"/>
          <w:numId w:val="11"/>
        </w:numPr>
        <w:ind w:left="284" w:firstLineChars="0" w:hanging="284"/>
      </w:pPr>
      <w:r>
        <w:rPr>
          <w:rFonts w:hint="eastAsia"/>
        </w:rPr>
        <w:t>对于没有使用授予的全部利益的项目，结束投资的行为执行和</w:t>
      </w:r>
      <w:r>
        <w:rPr>
          <w:rFonts w:hint="eastAsia"/>
        </w:rPr>
        <w:t>IRAE</w:t>
      </w:r>
      <w:r>
        <w:rPr>
          <w:rFonts w:hint="eastAsia"/>
        </w:rPr>
        <w:t>的使用，必须使用的百分比是由于实际使用的收益与所执行的符合条件的投资金额之间的关系而产生的，该数额在销售年度结束时发生；</w:t>
      </w:r>
    </w:p>
    <w:p w14:paraId="7178EB13" w14:textId="77777777" w:rsidR="00DD1E0B" w:rsidRDefault="00C924F2">
      <w:pPr>
        <w:pStyle w:val="afd"/>
        <w:numPr>
          <w:ilvl w:val="0"/>
          <w:numId w:val="11"/>
        </w:numPr>
        <w:ind w:left="284" w:firstLineChars="0" w:hanging="284"/>
      </w:pPr>
      <w:r>
        <w:rPr>
          <w:rFonts w:hint="eastAsia"/>
        </w:rPr>
        <w:t>在没有使用已授予的全部利益且未完成投资或者使用</w:t>
      </w:r>
      <w:r>
        <w:rPr>
          <w:rFonts w:hint="eastAsia"/>
        </w:rPr>
        <w:t>IRAE</w:t>
      </w:r>
      <w:r>
        <w:rPr>
          <w:rFonts w:hint="eastAsia"/>
        </w:rPr>
        <w:t>的项目中，百分比将按照与前一种情况相同的方式在销售年度计算。一旦使用了投资金额和确定的利益，必须再次计算免税的百分比，并且必须计算所述年度</w:t>
      </w:r>
      <w:r>
        <w:rPr>
          <w:rFonts w:hint="eastAsia"/>
        </w:rPr>
        <w:t>IRAE</w:t>
      </w:r>
      <w:r>
        <w:rPr>
          <w:rFonts w:hint="eastAsia"/>
        </w:rPr>
        <w:t>清算中的差额。</w:t>
      </w:r>
    </w:p>
    <w:p w14:paraId="46DF3CE6" w14:textId="77777777" w:rsidR="00DD1E0B" w:rsidRDefault="00C924F2">
      <w:pPr>
        <w:pStyle w:val="af3"/>
      </w:pPr>
      <w:r>
        <w:t xml:space="preserve">2.1.2 </w:t>
      </w:r>
      <w:r>
        <w:t>背景及评价</w:t>
      </w:r>
    </w:p>
    <w:p w14:paraId="7D302D46" w14:textId="77777777" w:rsidR="00DD1E0B" w:rsidRDefault="00C924F2">
      <w:pPr>
        <w:pStyle w:val="ae"/>
      </w:pPr>
      <w:r>
        <w:t xml:space="preserve">2.1.2.1 </w:t>
      </w:r>
      <w:r>
        <w:t>背景</w:t>
      </w:r>
    </w:p>
    <w:p w14:paraId="3C45E1F2" w14:textId="77777777" w:rsidR="00DD1E0B" w:rsidRDefault="00C924F2">
      <w:pPr>
        <w:ind w:firstLine="480"/>
      </w:pPr>
      <w:r>
        <w:rPr>
          <w:rFonts w:hint="eastAsia"/>
        </w:rPr>
        <w:t>乌拉圭政府早在</w:t>
      </w:r>
      <w:r>
        <w:rPr>
          <w:rFonts w:hint="eastAsia"/>
        </w:rPr>
        <w:t>2006</w:t>
      </w:r>
      <w:r>
        <w:rPr>
          <w:rFonts w:hint="eastAsia"/>
        </w:rPr>
        <w:t>年出台了本国的税收改革方案，草案包括减免一系列税收，取消</w:t>
      </w:r>
      <w:r>
        <w:rPr>
          <w:rFonts w:hint="eastAsia"/>
        </w:rPr>
        <w:t>15</w:t>
      </w:r>
      <w:r>
        <w:rPr>
          <w:rFonts w:hint="eastAsia"/>
        </w:rPr>
        <w:t>种税种，包括个人所得税、社会保障基金税、银行企业资本税、财政系统控制税、卫生服务特别税、小企业税、代理税、通讯税、信用卡税、强</w:t>
      </w:r>
      <w:r>
        <w:rPr>
          <w:rFonts w:hint="eastAsia"/>
        </w:rPr>
        <w:lastRenderedPageBreak/>
        <w:t>制销售税、农牧收入所得税、运动员税、</w:t>
      </w:r>
      <w:r>
        <w:rPr>
          <w:rFonts w:hint="eastAsia"/>
        </w:rPr>
        <w:t xml:space="preserve"> </w:t>
      </w:r>
      <w:r>
        <w:rPr>
          <w:rFonts w:hint="eastAsia"/>
        </w:rPr>
        <w:t>拍卖税和彩票税。政府还授权有关部门降低购买外币税率，保险单位收入的税率以及卫生检疫基金税率，以便逐步过渡到最终取消这些税收。当然也设立了一些新的税种，包括自然人所得税（</w:t>
      </w:r>
      <w:r>
        <w:t>IRPF</w:t>
      </w:r>
      <w:r>
        <w:rPr>
          <w:rFonts w:hint="eastAsia"/>
        </w:rPr>
        <w:t xml:space="preserve"> </w:t>
      </w:r>
      <w:r>
        <w:rPr>
          <w:rFonts w:hint="eastAsia"/>
        </w:rPr>
        <w:t>，</w:t>
      </w:r>
      <w:r>
        <w:rPr>
          <w:rFonts w:hint="eastAsia"/>
        </w:rPr>
        <w:t>Impuesto a la Renta de las Personas F</w:t>
      </w:r>
      <w:r>
        <w:rPr>
          <w:rFonts w:hint="eastAsia"/>
        </w:rPr>
        <w:t>í</w:t>
      </w:r>
      <w:r>
        <w:rPr>
          <w:rFonts w:hint="eastAsia"/>
        </w:rPr>
        <w:t>sicas</w:t>
      </w:r>
      <w:r>
        <w:rPr>
          <w:rFonts w:hint="eastAsia"/>
        </w:rPr>
        <w:t>），对企业设立经济活动所得税（即</w:t>
      </w:r>
      <w:r>
        <w:rPr>
          <w:rFonts w:hint="eastAsia"/>
        </w:rPr>
        <w:t>IRAE</w:t>
      </w:r>
      <w:r>
        <w:rPr>
          <w:rFonts w:hint="eastAsia"/>
        </w:rPr>
        <w:t>）等等。据乌拉圭政府估算，国家这次税务改革每年将减少</w:t>
      </w:r>
      <w:r>
        <w:rPr>
          <w:rFonts w:hint="eastAsia"/>
        </w:rPr>
        <w:t>7,290</w:t>
      </w:r>
      <w:r>
        <w:rPr>
          <w:rFonts w:hint="eastAsia"/>
        </w:rPr>
        <w:t>万美元的税收，占</w:t>
      </w:r>
      <w:r>
        <w:rPr>
          <w:rFonts w:hint="eastAsia"/>
        </w:rPr>
        <w:t>G</w:t>
      </w:r>
      <w:r>
        <w:t>DP</w:t>
      </w:r>
      <w:r>
        <w:rPr>
          <w:rFonts w:hint="eastAsia"/>
        </w:rPr>
        <w:t>的</w:t>
      </w:r>
      <w:r>
        <w:rPr>
          <w:rFonts w:hint="eastAsia"/>
        </w:rPr>
        <w:t>0.43</w:t>
      </w:r>
      <w:r>
        <w:rPr>
          <w:rFonts w:hint="eastAsia"/>
        </w:rPr>
        <w:t>％</w:t>
      </w:r>
      <w:r>
        <w:rPr>
          <w:rStyle w:val="af9"/>
          <w:rFonts w:eastAsiaTheme="minorEastAsia" w:cs="Times New Roman"/>
          <w:szCs w:val="24"/>
        </w:rPr>
        <w:footnoteReference w:id="16"/>
      </w:r>
      <w:r>
        <w:rPr>
          <w:rFonts w:hint="eastAsia"/>
        </w:rPr>
        <w:t>。</w:t>
      </w:r>
    </w:p>
    <w:p w14:paraId="108BE14E" w14:textId="77777777" w:rsidR="00DD1E0B" w:rsidRDefault="00C924F2">
      <w:pPr>
        <w:ind w:firstLine="480"/>
      </w:pPr>
      <w:r>
        <w:rPr>
          <w:rFonts w:hint="eastAsia"/>
        </w:rPr>
        <w:t>正是由于此次税收改革的推动，近十二年来有利的投资环境和持续的经济增长已经使得乌拉圭成为一个吸引外国投资者</w:t>
      </w:r>
      <w:r>
        <w:rPr>
          <w:rFonts w:hint="eastAsia"/>
        </w:rPr>
        <w:t>并信赖的地方。无论从事任何行业的公司，只要开展由政府推动的投资活动，都将获得以下优惠条件：</w:t>
      </w:r>
    </w:p>
    <w:p w14:paraId="614F1F29" w14:textId="77777777" w:rsidR="00DD1E0B" w:rsidRDefault="00C924F2">
      <w:pPr>
        <w:pStyle w:val="afd"/>
        <w:numPr>
          <w:ilvl w:val="0"/>
          <w:numId w:val="12"/>
        </w:numPr>
        <w:ind w:left="142" w:firstLineChars="0" w:firstLine="0"/>
      </w:pPr>
      <w:r>
        <w:rPr>
          <w:rFonts w:hint="eastAsia"/>
        </w:rPr>
        <w:t>对于在蒙得维的亚开展的为期八年的民用工程和在国内其他地方开展的为期十年的民用工程的固定资产的活动财产，其终身获得财产税免税优惠；</w:t>
      </w:r>
    </w:p>
    <w:p w14:paraId="336B6015" w14:textId="77777777" w:rsidR="00DD1E0B" w:rsidRDefault="00C924F2">
      <w:pPr>
        <w:pStyle w:val="afd"/>
        <w:numPr>
          <w:ilvl w:val="0"/>
          <w:numId w:val="12"/>
        </w:numPr>
        <w:ind w:left="142" w:firstLineChars="0" w:firstLine="0"/>
      </w:pPr>
      <w:r>
        <w:rPr>
          <w:rFonts w:hint="eastAsia"/>
        </w:rPr>
        <w:t>与本国工业无竞争压力的已申报的（新旧）机械和设备的进口税获得免税优惠；</w:t>
      </w:r>
    </w:p>
    <w:p w14:paraId="3951C698" w14:textId="77777777" w:rsidR="00DD1E0B" w:rsidRDefault="00C924F2">
      <w:pPr>
        <w:pStyle w:val="afd"/>
        <w:numPr>
          <w:ilvl w:val="0"/>
          <w:numId w:val="12"/>
        </w:numPr>
        <w:ind w:left="142" w:firstLineChars="0" w:firstLine="0"/>
      </w:pPr>
      <w:r>
        <w:rPr>
          <w:rFonts w:hint="eastAsia"/>
        </w:rPr>
        <w:t>民用工程范围内材料和服务的采购享受退还出口商增值税（</w:t>
      </w:r>
      <w:r>
        <w:rPr>
          <w:rFonts w:hint="eastAsia"/>
        </w:rPr>
        <w:t>IVA</w:t>
      </w:r>
      <w:r>
        <w:rPr>
          <w:rFonts w:hint="eastAsia"/>
        </w:rPr>
        <w:t>）的优惠；</w:t>
      </w:r>
    </w:p>
    <w:p w14:paraId="113C7B34" w14:textId="77777777" w:rsidR="00DD1E0B" w:rsidRDefault="00C924F2">
      <w:pPr>
        <w:pStyle w:val="afd"/>
        <w:numPr>
          <w:ilvl w:val="0"/>
          <w:numId w:val="12"/>
        </w:numPr>
        <w:ind w:left="142" w:firstLineChars="0" w:firstLine="0"/>
      </w:pPr>
      <w:r>
        <w:rPr>
          <w:rFonts w:hint="eastAsia"/>
        </w:rPr>
        <w:t>经济活动所得税按照一定标准估算最大金额和最长期限后实行免除政策，其中包括对雇佣率（</w:t>
      </w:r>
      <w:r>
        <w:rPr>
          <w:rFonts w:hint="eastAsia"/>
        </w:rPr>
        <w:t>30%</w:t>
      </w:r>
      <w:r>
        <w:rPr>
          <w:rFonts w:hint="eastAsia"/>
        </w:rPr>
        <w:t>）、分权管理率（</w:t>
      </w:r>
      <w:r>
        <w:rPr>
          <w:rFonts w:hint="eastAsia"/>
        </w:rPr>
        <w:t>15%</w:t>
      </w:r>
      <w:r>
        <w:rPr>
          <w:rFonts w:hint="eastAsia"/>
        </w:rPr>
        <w:t>）、出口增长率（</w:t>
      </w:r>
      <w:r>
        <w:rPr>
          <w:rFonts w:hint="eastAsia"/>
        </w:rPr>
        <w:t>15%</w:t>
      </w:r>
      <w:r>
        <w:rPr>
          <w:rFonts w:hint="eastAsia"/>
        </w:rPr>
        <w:t>）、最干净生产和</w:t>
      </w:r>
      <w:r>
        <w:rPr>
          <w:rFonts w:hint="eastAsia"/>
        </w:rPr>
        <w:t>/</w:t>
      </w:r>
      <w:r>
        <w:rPr>
          <w:rFonts w:hint="eastAsia"/>
        </w:rPr>
        <w:t>或</w:t>
      </w:r>
      <w:r>
        <w:rPr>
          <w:rFonts w:hint="eastAsia"/>
        </w:rPr>
        <w:t>I+D</w:t>
      </w:r>
      <w:r>
        <w:rPr>
          <w:rFonts w:hint="eastAsia"/>
        </w:rPr>
        <w:t>投资（</w:t>
      </w:r>
      <w:r>
        <w:rPr>
          <w:rFonts w:hint="eastAsia"/>
        </w:rPr>
        <w:t>20%</w:t>
      </w:r>
      <w:r>
        <w:rPr>
          <w:rFonts w:hint="eastAsia"/>
        </w:rPr>
        <w:t>）和扇形指数（</w:t>
      </w:r>
      <w:r>
        <w:rPr>
          <w:rFonts w:hint="eastAsia"/>
        </w:rPr>
        <w:t>20%</w:t>
      </w:r>
      <w:r>
        <w:rPr>
          <w:rFonts w:hint="eastAsia"/>
        </w:rPr>
        <w:t>）的衡量估算。免税率为固定资产中投资额或申报文件中申报的无形资产的</w:t>
      </w:r>
      <w:r>
        <w:rPr>
          <w:rFonts w:hint="eastAsia"/>
        </w:rPr>
        <w:t>20%</w:t>
      </w:r>
      <w:r>
        <w:rPr>
          <w:rFonts w:hint="eastAsia"/>
        </w:rPr>
        <w:t>至</w:t>
      </w:r>
      <w:r>
        <w:rPr>
          <w:rFonts w:hint="eastAsia"/>
        </w:rPr>
        <w:t>100%</w:t>
      </w:r>
      <w:r>
        <w:rPr>
          <w:rFonts w:hint="eastAsia"/>
        </w:rPr>
        <w:t>。免税享受期限按照规定公式进行计算，且不少于三年。</w:t>
      </w:r>
    </w:p>
    <w:p w14:paraId="584F4664" w14:textId="77777777" w:rsidR="00DD1E0B" w:rsidRDefault="00C924F2">
      <w:pPr>
        <w:pStyle w:val="ae"/>
      </w:pPr>
      <w:r>
        <w:t xml:space="preserve">2.1.2.2 </w:t>
      </w:r>
      <w:r>
        <w:t>评价</w:t>
      </w:r>
    </w:p>
    <w:p w14:paraId="744C559F" w14:textId="77777777" w:rsidR="00DD1E0B" w:rsidRDefault="00C924F2">
      <w:pPr>
        <w:ind w:firstLine="480"/>
      </w:pPr>
      <w:r>
        <w:rPr>
          <w:rFonts w:hint="eastAsia"/>
        </w:rPr>
        <w:t>此次乌拉圭政府增加了对投资项目资产在使用寿命结束前销售的税收处理的相关规定，是对其经济活动所得税法规的完善。对于纳税人在可使用年限结束前出售这些资产的情况，需要根据与资产使用寿命剩余期限相对应的百分比征税，且明确了出售资产实际使用的百分比确定规则，以更加准确的计算应纳税额。对于在乌拉圭进行投资的企业来说，需要审慎</w:t>
      </w:r>
      <w:r>
        <w:rPr>
          <w:rFonts w:hint="eastAsia"/>
        </w:rPr>
        <w:t>对待这一通函的相关规定，避免相关纳税风险。</w:t>
      </w:r>
    </w:p>
    <w:p w14:paraId="2F7DB929" w14:textId="77777777" w:rsidR="00DD1E0B" w:rsidRDefault="00DD1E0B">
      <w:pPr>
        <w:ind w:firstLineChars="0" w:firstLine="0"/>
        <w:rPr>
          <w:rFonts w:eastAsiaTheme="minorEastAsia" w:cs="Times New Roman"/>
          <w:szCs w:val="24"/>
        </w:rPr>
      </w:pPr>
    </w:p>
    <w:p w14:paraId="0535323D" w14:textId="77777777" w:rsidR="00DD1E0B" w:rsidRDefault="00DD1E0B">
      <w:pPr>
        <w:ind w:firstLine="480"/>
        <w:rPr>
          <w:rFonts w:eastAsiaTheme="minorEastAsia" w:cs="Times New Roman"/>
          <w:szCs w:val="24"/>
        </w:rPr>
      </w:pPr>
    </w:p>
    <w:p w14:paraId="64D5078E" w14:textId="77777777" w:rsidR="00DD1E0B" w:rsidRDefault="00DD1E0B">
      <w:pPr>
        <w:ind w:firstLine="480"/>
        <w:rPr>
          <w:rFonts w:cs="Times New Roman"/>
        </w:rPr>
      </w:pPr>
    </w:p>
    <w:p w14:paraId="5B8FB1AB" w14:textId="77777777" w:rsidR="00DD1E0B" w:rsidRDefault="00C924F2">
      <w:pPr>
        <w:pStyle w:val="1"/>
      </w:pPr>
      <w:bookmarkStart w:id="10" w:name="_Toc500956848"/>
      <w:bookmarkStart w:id="11" w:name="_Toc508835196"/>
      <w:r>
        <w:rPr>
          <w:rFonts w:hint="eastAsia"/>
        </w:rPr>
        <w:t>3</w:t>
      </w:r>
      <w:r>
        <w:t xml:space="preserve"> </w:t>
      </w:r>
      <w:bookmarkEnd w:id="10"/>
      <w:r>
        <w:t>澳大利亚</w:t>
      </w:r>
      <w:bookmarkEnd w:id="11"/>
      <w:r>
        <w:t xml:space="preserve"> </w:t>
      </w:r>
    </w:p>
    <w:p w14:paraId="329FDA38" w14:textId="77777777" w:rsidR="00DD1E0B" w:rsidRDefault="00DD1E0B">
      <w:pPr>
        <w:ind w:firstLine="480"/>
        <w:rPr>
          <w:rFonts w:cs="Times New Roman"/>
        </w:rPr>
      </w:pPr>
    </w:p>
    <w:p w14:paraId="39835BCE" w14:textId="77777777" w:rsidR="00DD1E0B" w:rsidRDefault="00C924F2">
      <w:pPr>
        <w:pStyle w:val="2"/>
      </w:pPr>
      <w:bookmarkStart w:id="12" w:name="_Toc493407019"/>
      <w:bookmarkStart w:id="13" w:name="_Toc500956849"/>
      <w:bookmarkStart w:id="14" w:name="_Toc508835197"/>
      <w:r>
        <w:rPr>
          <w:rFonts w:hint="eastAsia"/>
        </w:rPr>
        <w:t>3</w:t>
      </w:r>
      <w:r>
        <w:t xml:space="preserve">.1 </w:t>
      </w:r>
      <w:bookmarkEnd w:id="12"/>
      <w:bookmarkEnd w:id="13"/>
      <w:r>
        <w:t>澳大利亚税务局发布《实践合规指南</w:t>
      </w:r>
      <w:r>
        <w:t>PCG 2018/ D2</w:t>
      </w:r>
      <w:r>
        <w:t>》</w:t>
      </w:r>
      <w:bookmarkEnd w:id="14"/>
    </w:p>
    <w:p w14:paraId="7F65AFEB" w14:textId="77777777" w:rsidR="00DD1E0B" w:rsidRDefault="00C924F2">
      <w:pPr>
        <w:pStyle w:val="3"/>
      </w:pPr>
      <w:r>
        <w:rPr>
          <w:rFonts w:hint="eastAsia"/>
        </w:rPr>
        <w:t>3</w:t>
      </w:r>
      <w:r>
        <w:t xml:space="preserve">.1.1 </w:t>
      </w:r>
      <w:r>
        <w:t>内容</w:t>
      </w:r>
      <w:r>
        <w:rPr>
          <w:rStyle w:val="af9"/>
          <w:rFonts w:cs="Times New Roman"/>
          <w:b w:val="0"/>
          <w:bCs w:val="0"/>
          <w:sz w:val="21"/>
        </w:rPr>
        <w:footnoteReference w:id="17"/>
      </w:r>
    </w:p>
    <w:p w14:paraId="4F0AED71" w14:textId="2FA9B8A3" w:rsidR="00DD1E0B" w:rsidRDefault="00C924F2">
      <w:pPr>
        <w:ind w:firstLine="480"/>
      </w:pPr>
      <w:r>
        <w:t>澳大利亚税务局（</w:t>
      </w:r>
      <w:r>
        <w:t>ATO</w:t>
      </w:r>
      <w:r>
        <w:rPr>
          <w:rFonts w:hint="eastAsia"/>
        </w:rPr>
        <w:t>，</w:t>
      </w:r>
      <w:r>
        <w:t>Australian Taxation Office</w:t>
      </w:r>
      <w:r>
        <w:t>）于</w:t>
      </w:r>
      <w:r>
        <w:t>2018</w:t>
      </w:r>
      <w:r>
        <w:t>年</w:t>
      </w:r>
      <w:r>
        <w:t>2</w:t>
      </w:r>
      <w:r>
        <w:t>月</w:t>
      </w:r>
      <w:r>
        <w:t>7</w:t>
      </w:r>
      <w:r>
        <w:t>日发布了《实践合规指南</w:t>
      </w:r>
      <w:r>
        <w:t>PCG 2018/ D2</w:t>
      </w:r>
      <w:r>
        <w:t>》草案，列出了转移利润税（</w:t>
      </w:r>
      <w:r>
        <w:t>DPT</w:t>
      </w:r>
      <w:r>
        <w:rPr>
          <w:rFonts w:hint="eastAsia"/>
        </w:rPr>
        <w:t>，</w:t>
      </w:r>
      <w:r>
        <w:t>Diverted Profits Tax</w:t>
      </w:r>
      <w:r>
        <w:t>）相关方的参与框架，以协助纳税人评估</w:t>
      </w:r>
      <w:r>
        <w:t>DPT</w:t>
      </w:r>
      <w:r>
        <w:t>的风险水平。</w:t>
      </w:r>
      <w:r>
        <w:t>草案的公众咨询期限将延长至</w:t>
      </w:r>
      <w:r>
        <w:t>2018</w:t>
      </w:r>
      <w:r>
        <w:t>年</w:t>
      </w:r>
      <w:r>
        <w:t>3</w:t>
      </w:r>
      <w:r>
        <w:t>月</w:t>
      </w:r>
      <w:r>
        <w:t>9</w:t>
      </w:r>
      <w:r>
        <w:t>日。</w:t>
      </w:r>
    </w:p>
    <w:p w14:paraId="7CC0BCEA" w14:textId="77777777" w:rsidR="00DD1E0B" w:rsidRDefault="00C924F2">
      <w:pPr>
        <w:ind w:firstLine="480"/>
      </w:pPr>
      <w:r>
        <w:t>PCG</w:t>
      </w:r>
      <w:r>
        <w:t>包含若干有用的框架问题，用以评估被归类为特定交易的风险，同时涉及经济实质充足性（</w:t>
      </w:r>
      <w:r>
        <w:t>SES</w:t>
      </w:r>
      <w:r>
        <w:rPr>
          <w:rFonts w:hint="eastAsia"/>
        </w:rPr>
        <w:t>，</w:t>
      </w:r>
      <w:r>
        <w:t>the sufficient economic substance</w:t>
      </w:r>
      <w:r>
        <w:t>）测试的应用和主要目的测试。它还列出了可作为证据的文件类型和客户参与框架。此外，在仅关注</w:t>
      </w:r>
      <w:r>
        <w:t>SES</w:t>
      </w:r>
      <w:r>
        <w:t>测试的五种不同方案中，该草案还包含高风险和低危险性示例，这些将是纳税人的重点关注领域。高风险示例如下。</w:t>
      </w:r>
    </w:p>
    <w:p w14:paraId="091C4EC1" w14:textId="77777777" w:rsidR="00DD1E0B" w:rsidRDefault="00C924F2">
      <w:pPr>
        <w:ind w:firstLine="480"/>
      </w:pPr>
      <w:r>
        <w:rPr>
          <w:rFonts w:hint="eastAsia"/>
        </w:rPr>
        <w:t>（</w:t>
      </w:r>
      <w:r>
        <w:rPr>
          <w:rFonts w:hint="eastAsia"/>
        </w:rPr>
        <w:t>1</w:t>
      </w:r>
      <w:r>
        <w:rPr>
          <w:rFonts w:hint="eastAsia"/>
        </w:rPr>
        <w:t>）</w:t>
      </w:r>
      <w:r>
        <w:t>跨境租入租出（</w:t>
      </w:r>
      <w:r>
        <w:t>LILO</w:t>
      </w:r>
      <w:r>
        <w:rPr>
          <w:rFonts w:hint="eastAsia"/>
        </w:rPr>
        <w:t>，</w:t>
      </w:r>
      <w:r>
        <w:t>Cross-border lease-in-lease-out</w:t>
      </w:r>
      <w:r>
        <w:t>）</w:t>
      </w:r>
    </w:p>
    <w:p w14:paraId="1E05EB67" w14:textId="77777777" w:rsidR="00DD1E0B" w:rsidRDefault="00C924F2">
      <w:pPr>
        <w:ind w:firstLine="480"/>
      </w:pPr>
      <w:r>
        <w:t>由于关联转租方的存在使得企业在条约国可以减少特许权使用费预提税的缴纳，重点是转租人是否在谈判和风险管理等方面发挥了积极的作用。即使归属于澳大利亚公司的利润合理反映了经济实质，但如果两个外国租赁实体之间的利润分配未能反映其各自的活动，则</w:t>
      </w:r>
      <w:r>
        <w:t>SES</w:t>
      </w:r>
      <w:r>
        <w:t>测试失败</w:t>
      </w:r>
      <w:r>
        <w:rPr>
          <w:rFonts w:hint="eastAsia"/>
        </w:rPr>
        <w:t>，</w:t>
      </w:r>
      <w:r>
        <w:t>这表明</w:t>
      </w:r>
      <w:r>
        <w:t>ATO</w:t>
      </w:r>
      <w:r>
        <w:t>准备在当地转移定价合格的情况下使用</w:t>
      </w:r>
      <w:r>
        <w:t>DPT</w:t>
      </w:r>
      <w:r>
        <w:t>。</w:t>
      </w:r>
    </w:p>
    <w:p w14:paraId="6424851D" w14:textId="77777777" w:rsidR="00DD1E0B" w:rsidRDefault="00C924F2">
      <w:pPr>
        <w:ind w:firstLine="480"/>
      </w:pPr>
      <w:r>
        <w:t>（</w:t>
      </w:r>
      <w:r>
        <w:t>2</w:t>
      </w:r>
      <w:r>
        <w:t>）无形资产向低税收管辖权地区转移</w:t>
      </w:r>
    </w:p>
    <w:p w14:paraId="68139A4D" w14:textId="77777777" w:rsidR="00DD1E0B" w:rsidRDefault="00C924F2">
      <w:pPr>
        <w:ind w:firstLine="480"/>
      </w:pPr>
      <w:r>
        <w:t>由于澳大利亚公司持续从事制造、商业化和功能维护、保护和开发知识产权</w:t>
      </w:r>
      <w:r>
        <w:rPr>
          <w:rFonts w:hint="eastAsia"/>
        </w:rPr>
        <w:t>（</w:t>
      </w:r>
      <w:r>
        <w:rPr>
          <w:rFonts w:hint="eastAsia"/>
        </w:rPr>
        <w:t>IP</w:t>
      </w:r>
      <w:r>
        <w:rPr>
          <w:rFonts w:hint="eastAsia"/>
        </w:rPr>
        <w:t>，</w:t>
      </w:r>
      <w:r>
        <w:rPr>
          <w:rFonts w:hint="eastAsia"/>
        </w:rPr>
        <w:t>I</w:t>
      </w:r>
      <w:r>
        <w:rPr>
          <w:rFonts w:hint="eastAsia"/>
        </w:rPr>
        <w:t xml:space="preserve">ntellectual </w:t>
      </w:r>
      <w:r>
        <w:rPr>
          <w:rFonts w:hint="eastAsia"/>
        </w:rPr>
        <w:t>P</w:t>
      </w:r>
      <w:r>
        <w:rPr>
          <w:rFonts w:hint="eastAsia"/>
        </w:rPr>
        <w:t>roperty</w:t>
      </w:r>
      <w:r>
        <w:rPr>
          <w:rFonts w:hint="eastAsia"/>
        </w:rPr>
        <w:t>）</w:t>
      </w:r>
      <w:r>
        <w:t>的工作，</w:t>
      </w:r>
      <w:r>
        <w:t>PCG</w:t>
      </w:r>
      <w:r>
        <w:t>列举了一套独立的针对</w:t>
      </w:r>
      <w:r>
        <w:t>IP</w:t>
      </w:r>
      <w:r>
        <w:t>迁移和运行的高</w:t>
      </w:r>
      <w:r>
        <w:t>/</w:t>
      </w:r>
      <w:r>
        <w:t>低风险示例，其中包括澳大利亚拥有的旧</w:t>
      </w:r>
      <w:r>
        <w:t>IP</w:t>
      </w:r>
      <w:r>
        <w:t>被耗尽，而完全依赖于旧</w:t>
      </w:r>
      <w:r>
        <w:t>IP</w:t>
      </w:r>
      <w:r>
        <w:t>开发的新</w:t>
      </w:r>
      <w:r>
        <w:t>IP</w:t>
      </w:r>
      <w:r>
        <w:t>在低税收管辖区投入运行。</w:t>
      </w:r>
    </w:p>
    <w:p w14:paraId="29EF25CB" w14:textId="77777777" w:rsidR="00DD1E0B" w:rsidRDefault="00C924F2">
      <w:pPr>
        <w:ind w:firstLine="480"/>
      </w:pPr>
      <w:r>
        <w:t>（</w:t>
      </w:r>
      <w:r>
        <w:t>3</w:t>
      </w:r>
      <w:r>
        <w:t>）有限风险分销商（</w:t>
      </w:r>
      <w:r>
        <w:t>LRD, Limited risk distributors</w:t>
      </w:r>
      <w:r>
        <w:t>）</w:t>
      </w:r>
    </w:p>
    <w:p w14:paraId="5689AA85" w14:textId="77777777" w:rsidR="00DD1E0B" w:rsidRDefault="00C924F2">
      <w:pPr>
        <w:ind w:firstLine="480"/>
      </w:pPr>
      <w:r>
        <w:lastRenderedPageBreak/>
        <w:t>尽管协议证明澳大利亚是</w:t>
      </w:r>
      <w:r>
        <w:t>LRD</w:t>
      </w:r>
      <w:r>
        <w:t>，但有证据显示澳大利亚确实是一个完全的风险分销商。因此，</w:t>
      </w:r>
      <w:r>
        <w:t>SES</w:t>
      </w:r>
      <w:r>
        <w:t>测试着眼于与交易相关的职能，而不仅仅是整个实体的员工层面。</w:t>
      </w:r>
    </w:p>
    <w:p w14:paraId="7A5F9EFB" w14:textId="77777777" w:rsidR="00DD1E0B" w:rsidRDefault="00C924F2">
      <w:pPr>
        <w:ind w:firstLine="480"/>
      </w:pPr>
      <w:r>
        <w:t>（</w:t>
      </w:r>
      <w:r>
        <w:t>4</w:t>
      </w:r>
      <w:r>
        <w:t>）市场枢纽</w:t>
      </w:r>
    </w:p>
    <w:p w14:paraId="41630E40" w14:textId="77777777" w:rsidR="00DD1E0B" w:rsidRDefault="00C924F2">
      <w:pPr>
        <w:ind w:firstLine="480"/>
      </w:pPr>
      <w:r>
        <w:t>与所承担职能有关的过多利润分配给枢纽。</w:t>
      </w:r>
    </w:p>
    <w:p w14:paraId="10268BE3" w14:textId="77777777" w:rsidR="00DD1E0B" w:rsidRDefault="00C924F2">
      <w:pPr>
        <w:pStyle w:val="af3"/>
      </w:pPr>
      <w:r>
        <w:rPr>
          <w:rFonts w:hint="eastAsia"/>
        </w:rPr>
        <w:t>3</w:t>
      </w:r>
      <w:r>
        <w:t xml:space="preserve">.1.2 </w:t>
      </w:r>
      <w:r>
        <w:t>背景与评价</w:t>
      </w:r>
    </w:p>
    <w:p w14:paraId="31D146C0" w14:textId="77777777" w:rsidR="00DD1E0B" w:rsidRDefault="00C924F2">
      <w:pPr>
        <w:pStyle w:val="ae"/>
      </w:pPr>
      <w:r>
        <w:rPr>
          <w:rFonts w:hint="eastAsia"/>
        </w:rPr>
        <w:t>3</w:t>
      </w:r>
      <w:r>
        <w:t xml:space="preserve">.1.2.1 </w:t>
      </w:r>
      <w:r>
        <w:t>背景</w:t>
      </w:r>
      <w:r>
        <w:rPr>
          <w:rStyle w:val="af9"/>
          <w:rFonts w:cs="Times New Roman"/>
          <w:b w:val="0"/>
          <w:bCs w:val="0"/>
          <w:kern w:val="2"/>
          <w:szCs w:val="24"/>
        </w:rPr>
        <w:footnoteReference w:id="18"/>
      </w:r>
    </w:p>
    <w:p w14:paraId="7F80E406" w14:textId="77777777" w:rsidR="00DD1E0B" w:rsidRDefault="00C924F2">
      <w:pPr>
        <w:ind w:firstLine="480"/>
      </w:pPr>
      <w:r>
        <w:t>为扩充反避税适用范围，建立全方位的反避税法律体系，</w:t>
      </w:r>
      <w:r>
        <w:t>ATO</w:t>
      </w:r>
      <w:r>
        <w:t>于</w:t>
      </w:r>
      <w:r>
        <w:t>2017</w:t>
      </w:r>
      <w:r>
        <w:t>年</w:t>
      </w:r>
      <w:r>
        <w:t>7</w:t>
      </w:r>
      <w:r>
        <w:t>月</w:t>
      </w:r>
      <w:r>
        <w:t>1</w:t>
      </w:r>
      <w:r>
        <w:t>日起推行转移利润税，限制对象是那些通过税收筹划将在澳大利亚获取的利润转移到海外关联方以达到避税目的的跨国公司，该税法规定跨国公司刻意从澳大利亚转移出去的利润将被实施</w:t>
      </w:r>
      <w:r>
        <w:t>40%</w:t>
      </w:r>
      <w:r>
        <w:t>的税收性处罚。</w:t>
      </w:r>
    </w:p>
    <w:p w14:paraId="0EB8B118" w14:textId="77777777" w:rsidR="00DD1E0B" w:rsidRDefault="00C924F2">
      <w:pPr>
        <w:ind w:firstLine="480"/>
      </w:pPr>
      <w:r>
        <w:t>为加快</w:t>
      </w:r>
      <w:r>
        <w:t>DPT</w:t>
      </w:r>
      <w:r>
        <w:t>的落地和实施，澳大利亚不断推出诸多辅助政策。</w:t>
      </w:r>
      <w:r>
        <w:t>2017</w:t>
      </w:r>
      <w:r>
        <w:t>年</w:t>
      </w:r>
      <w:r>
        <w:t>5</w:t>
      </w:r>
      <w:r>
        <w:t>月，</w:t>
      </w:r>
      <w:r>
        <w:t>ATO</w:t>
      </w:r>
      <w:r>
        <w:t>发布了《实践合规指南</w:t>
      </w:r>
      <w:r>
        <w:t xml:space="preserve"> PCG 2017 / D4</w:t>
      </w:r>
      <w:r>
        <w:t>》草案，其中提出了针对跨国关联方贷款相关的转让定价风险的评估方法。新的指南于</w:t>
      </w:r>
      <w:r>
        <w:t>2017</w:t>
      </w:r>
      <w:r>
        <w:t>年</w:t>
      </w:r>
      <w:r>
        <w:t>7</w:t>
      </w:r>
      <w:r>
        <w:t>月</w:t>
      </w:r>
      <w:r>
        <w:t>1</w:t>
      </w:r>
      <w:r>
        <w:t>日生效，对现有和新设立的融资安排、</w:t>
      </w:r>
      <w:r>
        <w:t>架构和功能有影响。</w:t>
      </w:r>
      <w:r>
        <w:t>2017</w:t>
      </w:r>
      <w:r>
        <w:t>年</w:t>
      </w:r>
      <w:r>
        <w:t>12</w:t>
      </w:r>
      <w:r>
        <w:t>月</w:t>
      </w:r>
      <w:r>
        <w:t>18</w:t>
      </w:r>
      <w:r>
        <w:t>日，</w:t>
      </w:r>
      <w:r>
        <w:t>ATO</w:t>
      </w:r>
      <w:r>
        <w:t>发布了分享利得税的法律伴侣指南（</w:t>
      </w:r>
      <w:r>
        <w:t>LCG2017 / D7</w:t>
      </w:r>
      <w:r>
        <w:t>），咨询期于</w:t>
      </w:r>
      <w:r>
        <w:t>2018</w:t>
      </w:r>
      <w:r>
        <w:t>年</w:t>
      </w:r>
      <w:r>
        <w:t>2</w:t>
      </w:r>
      <w:r>
        <w:t>月</w:t>
      </w:r>
      <w:r>
        <w:t>16</w:t>
      </w:r>
      <w:r>
        <w:t>日结束，</w:t>
      </w:r>
      <w:r>
        <w:t>LCG</w:t>
      </w:r>
      <w:r>
        <w:t>草案阐述了专员将如何应用新的</w:t>
      </w:r>
      <w:r>
        <w:t>DPT</w:t>
      </w:r>
      <w:r>
        <w:t>法律，为纳税人明确了新法规的适用范围。此外，</w:t>
      </w:r>
      <w:r>
        <w:t>ATO</w:t>
      </w:r>
      <w:r>
        <w:t>还发布了</w:t>
      </w:r>
      <w:r>
        <w:t>2017</w:t>
      </w:r>
      <w:r>
        <w:t>年法律管理实践声明，其中包括解释</w:t>
      </w:r>
      <w:r>
        <w:t>ATO</w:t>
      </w:r>
      <w:r>
        <w:t>内</w:t>
      </w:r>
      <w:r>
        <w:t>DPT</w:t>
      </w:r>
      <w:r>
        <w:t>的内部行政监督框架和发布</w:t>
      </w:r>
      <w:r>
        <w:t>DPT</w:t>
      </w:r>
      <w:r>
        <w:t>评估的流程，旨在为纳税人提供合适的内部审查。</w:t>
      </w:r>
    </w:p>
    <w:p w14:paraId="5E6EA362" w14:textId="77777777" w:rsidR="00DD1E0B" w:rsidRDefault="00C924F2">
      <w:pPr>
        <w:pStyle w:val="ae"/>
      </w:pPr>
      <w:r>
        <w:rPr>
          <w:rFonts w:hint="eastAsia"/>
        </w:rPr>
        <w:t>3</w:t>
      </w:r>
      <w:r>
        <w:t xml:space="preserve">.1.2.2 </w:t>
      </w:r>
      <w:r>
        <w:t>评价</w:t>
      </w:r>
      <w:r>
        <w:rPr>
          <w:rStyle w:val="af9"/>
          <w:rFonts w:cs="Times New Roman"/>
          <w:b w:val="0"/>
          <w:bCs w:val="0"/>
          <w:kern w:val="2"/>
          <w:szCs w:val="24"/>
        </w:rPr>
        <w:footnoteReference w:id="19"/>
      </w:r>
    </w:p>
    <w:p w14:paraId="7D7B0042" w14:textId="77777777" w:rsidR="00DD1E0B" w:rsidRDefault="00C924F2">
      <w:pPr>
        <w:ind w:firstLine="480"/>
        <w:rPr>
          <w:b/>
        </w:rPr>
      </w:pPr>
      <w:r>
        <w:t>一方面，</w:t>
      </w:r>
      <w:r>
        <w:t>DPT</w:t>
      </w:r>
      <w:r>
        <w:t>的征收增强了</w:t>
      </w:r>
      <w:r>
        <w:t>ATO</w:t>
      </w:r>
      <w:r>
        <w:t>的权力，提高了对跨国企业的评估能力，政府因此每年增加数亿澳元的财政收入。另一方面，随着</w:t>
      </w:r>
      <w:r>
        <w:t>《实践合规指南</w:t>
      </w:r>
      <w:r>
        <w:t>PCG 2018/ D2</w:t>
      </w:r>
      <w:r>
        <w:t>》草案的发布，纳税人现在应该根据政策要求采取措施审查其税务安排。</w:t>
      </w:r>
      <w:r>
        <w:t>PCG</w:t>
      </w:r>
      <w:r>
        <w:t>明确表示</w:t>
      </w:r>
      <w:r>
        <w:t>ATO</w:t>
      </w:r>
      <w:r>
        <w:t>期望纳税人从多角度进行自我评估，如果存在潜在的</w:t>
      </w:r>
      <w:r>
        <w:t>DPT</w:t>
      </w:r>
      <w:r>
        <w:t>风险，</w:t>
      </w:r>
      <w:r>
        <w:t>ATO</w:t>
      </w:r>
      <w:r>
        <w:t>希望纳税人能尽早报备和改善。</w:t>
      </w:r>
    </w:p>
    <w:p w14:paraId="72C5E526" w14:textId="77777777" w:rsidR="00DD1E0B" w:rsidRDefault="00C924F2">
      <w:pPr>
        <w:pStyle w:val="2"/>
      </w:pPr>
      <w:bookmarkStart w:id="15" w:name="_Toc508835198"/>
      <w:r>
        <w:rPr>
          <w:rFonts w:hint="eastAsia"/>
        </w:rPr>
        <w:lastRenderedPageBreak/>
        <w:t>3</w:t>
      </w:r>
      <w:r>
        <w:t xml:space="preserve">.2 </w:t>
      </w:r>
      <w:r>
        <w:t>澳大利亚拟引入与房地产交易相关的商品和服务税扣缴措施</w:t>
      </w:r>
      <w:bookmarkEnd w:id="15"/>
    </w:p>
    <w:p w14:paraId="2CF4E8B4" w14:textId="77777777" w:rsidR="00DD1E0B" w:rsidRDefault="00C924F2">
      <w:pPr>
        <w:pStyle w:val="3"/>
      </w:pPr>
      <w:r>
        <w:rPr>
          <w:rFonts w:hint="eastAsia"/>
        </w:rPr>
        <w:t>3</w:t>
      </w:r>
      <w:r>
        <w:t xml:space="preserve">.2.1 </w:t>
      </w:r>
      <w:r>
        <w:t>内容</w:t>
      </w:r>
      <w:r>
        <w:rPr>
          <w:rStyle w:val="af9"/>
          <w:rFonts w:cs="Times New Roman"/>
          <w:b w:val="0"/>
          <w:bCs w:val="0"/>
          <w:sz w:val="21"/>
        </w:rPr>
        <w:footnoteReference w:id="20"/>
      </w:r>
    </w:p>
    <w:p w14:paraId="131B9302" w14:textId="77777777" w:rsidR="00DD1E0B" w:rsidRDefault="00C924F2">
      <w:pPr>
        <w:ind w:firstLine="480"/>
      </w:pPr>
      <w:r>
        <w:t>2018</w:t>
      </w:r>
      <w:r>
        <w:t>年</w:t>
      </w:r>
      <w:r>
        <w:t>2</w:t>
      </w:r>
      <w:r>
        <w:t>月</w:t>
      </w:r>
      <w:r>
        <w:t>7</w:t>
      </w:r>
      <w:r>
        <w:t>日，政府出台了</w:t>
      </w:r>
      <w:r>
        <w:t>“</w:t>
      </w:r>
      <w:r>
        <w:t>财政法修正案（</w:t>
      </w:r>
      <w:r>
        <w:t>2018</w:t>
      </w:r>
      <w:r>
        <w:t>年第</w:t>
      </w:r>
      <w:r>
        <w:t>1</w:t>
      </w:r>
      <w:r>
        <w:t>号措施）草案</w:t>
      </w:r>
      <w:r>
        <w:t>”</w:t>
      </w:r>
      <w:r>
        <w:t>，其中包含引入与房地产交易相关的商品和服务税（</w:t>
      </w:r>
      <w:r>
        <w:t>GST</w:t>
      </w:r>
      <w:r>
        <w:rPr>
          <w:rFonts w:hint="eastAsia"/>
        </w:rPr>
        <w:t>，</w:t>
      </w:r>
      <w:r>
        <w:t>Goods and Services Tax</w:t>
      </w:r>
      <w:r>
        <w:t>）扣缴措施。立法如果通过，将于</w:t>
      </w:r>
      <w:r>
        <w:t>2018</w:t>
      </w:r>
      <w:r>
        <w:t>年</w:t>
      </w:r>
      <w:r>
        <w:t>7</w:t>
      </w:r>
      <w:r>
        <w:t>月</w:t>
      </w:r>
      <w:r>
        <w:t>1</w:t>
      </w:r>
      <w:r>
        <w:t>日生效，即相关措施适用于</w:t>
      </w:r>
      <w:r>
        <w:t>2018</w:t>
      </w:r>
      <w:r>
        <w:t>年</w:t>
      </w:r>
      <w:r>
        <w:t>7</w:t>
      </w:r>
      <w:r>
        <w:t>月</w:t>
      </w:r>
      <w:r>
        <w:t>1</w:t>
      </w:r>
      <w:r>
        <w:t>日或之后签订的合同，为尽量减小纳税人所受到的影响，政府提出为期两年的过渡安排，</w:t>
      </w:r>
      <w:r>
        <w:t>2018</w:t>
      </w:r>
      <w:r>
        <w:t>年</w:t>
      </w:r>
      <w:r>
        <w:t>7</w:t>
      </w:r>
      <w:r>
        <w:t>月</w:t>
      </w:r>
      <w:r>
        <w:t>1</w:t>
      </w:r>
      <w:r>
        <w:t>日前订立的合同于</w:t>
      </w:r>
      <w:r>
        <w:t>2020</w:t>
      </w:r>
      <w:r>
        <w:t>年</w:t>
      </w:r>
      <w:r>
        <w:t>7</w:t>
      </w:r>
      <w:r>
        <w:t>月</w:t>
      </w:r>
      <w:r>
        <w:t>1</w:t>
      </w:r>
      <w:r>
        <w:t>日前结清，将免除</w:t>
      </w:r>
      <w:r>
        <w:t>GST</w:t>
      </w:r>
      <w:r>
        <w:t>预扣税。商业对商业（</w:t>
      </w:r>
      <w:r>
        <w:t>B2B</w:t>
      </w:r>
      <w:r>
        <w:rPr>
          <w:rFonts w:hint="eastAsia"/>
        </w:rPr>
        <w:t>，</w:t>
      </w:r>
      <w:r>
        <w:t>Business to Business</w:t>
      </w:r>
      <w:r>
        <w:t>）用品、商业住宅用品供应以及通过大规模装修创建的新住宅用品供应也免除</w:t>
      </w:r>
      <w:r>
        <w:t>GST</w:t>
      </w:r>
      <w:r>
        <w:t>预扣税。</w:t>
      </w:r>
    </w:p>
    <w:p w14:paraId="23E373F1" w14:textId="77777777" w:rsidR="00DD1E0B" w:rsidRDefault="00C924F2">
      <w:pPr>
        <w:ind w:firstLine="480"/>
        <w:rPr>
          <w:rFonts w:cs="Times New Roman"/>
        </w:rPr>
      </w:pPr>
      <w:r>
        <w:rPr>
          <w:rFonts w:cs="Times New Roman"/>
        </w:rPr>
        <w:t>GST</w:t>
      </w:r>
      <w:r>
        <w:rPr>
          <w:rFonts w:cs="Times New Roman"/>
        </w:rPr>
        <w:t>预扣税率为</w:t>
      </w:r>
      <w:r>
        <w:rPr>
          <w:rFonts w:cs="Times New Roman"/>
        </w:rPr>
        <w:t>1/11</w:t>
      </w:r>
      <w:r>
        <w:rPr>
          <w:rFonts w:cs="Times New Roman"/>
        </w:rPr>
        <w:t>。对于按保证金计划的销售，预扣金额可降低至合同价格的</w:t>
      </w:r>
      <w:r>
        <w:rPr>
          <w:rFonts w:cs="Times New Roman"/>
        </w:rPr>
        <w:t>7%</w:t>
      </w:r>
      <w:r>
        <w:rPr>
          <w:rFonts w:cs="Times New Roman"/>
        </w:rPr>
        <w:t>。买方预计支付金额和实际支付金额的任何修正将于结算后在供应商的业务活动声明（</w:t>
      </w:r>
      <w:r>
        <w:rPr>
          <w:rFonts w:cs="Times New Roman"/>
        </w:rPr>
        <w:t>BAS</w:t>
      </w:r>
      <w:r>
        <w:rPr>
          <w:rFonts w:cs="Times New Roman" w:hint="eastAsia"/>
        </w:rPr>
        <w:t>，</w:t>
      </w:r>
      <w:r>
        <w:rPr>
          <w:rFonts w:cs="Times New Roman"/>
        </w:rPr>
        <w:t>Business Activity Statement</w:t>
      </w:r>
      <w:r>
        <w:rPr>
          <w:rFonts w:cs="Times New Roman"/>
        </w:rPr>
        <w:t>）中列示。</w:t>
      </w:r>
    </w:p>
    <w:p w14:paraId="25204A1E" w14:textId="77777777" w:rsidR="00DD1E0B" w:rsidRDefault="00C924F2">
      <w:pPr>
        <w:ind w:firstLine="480"/>
      </w:pPr>
      <w:r>
        <w:t>供应商将有义务通知购买者</w:t>
      </w:r>
      <w:r>
        <w:t xml:space="preserve">, </w:t>
      </w:r>
      <w:r>
        <w:t>告知是否需要缴纳</w:t>
      </w:r>
      <w:r>
        <w:t>GST</w:t>
      </w:r>
      <w:r>
        <w:t>预扣税和适用的预扣税率。供应商如果未能达到通知要求将是一种违法行为，最高处以公司罚款</w:t>
      </w:r>
      <w:r>
        <w:t>10.5</w:t>
      </w:r>
      <w:r>
        <w:t>万美元，个人罚款</w:t>
      </w:r>
      <w:r>
        <w:t>2.1</w:t>
      </w:r>
      <w:r>
        <w:t>万美元。购买者将能够依赖此类通知</w:t>
      </w:r>
      <w:r>
        <w:t xml:space="preserve">, </w:t>
      </w:r>
      <w:r>
        <w:t>除非出现不合理情况。此外</w:t>
      </w:r>
      <w:r>
        <w:t xml:space="preserve">, </w:t>
      </w:r>
      <w:r>
        <w:t>在没有通知的情况下</w:t>
      </w:r>
      <w:r>
        <w:t xml:space="preserve">, </w:t>
      </w:r>
      <w:r>
        <w:t>购买者可选择扣留，从而履行其责任。</w:t>
      </w:r>
    </w:p>
    <w:p w14:paraId="62C82216" w14:textId="77777777" w:rsidR="00DD1E0B" w:rsidRDefault="00C924F2">
      <w:pPr>
        <w:ind w:firstLine="480"/>
      </w:pPr>
      <w:r>
        <w:t>购买者支付的预扣税可以直接向</w:t>
      </w:r>
      <w:r>
        <w:t>ATO</w:t>
      </w:r>
      <w:r>
        <w:t>支付，也可以在结算时提供支票给税务专员。如果直接向</w:t>
      </w:r>
      <w:r>
        <w:t>ATO</w:t>
      </w:r>
      <w:r>
        <w:t>支付款项，澳大利亚房地产交易所（</w:t>
      </w:r>
      <w:r>
        <w:t xml:space="preserve">PEXA, Property </w:t>
      </w:r>
      <w:r>
        <w:t>Exchange Australia</w:t>
      </w:r>
      <w:r>
        <w:t>）系统允许供应商在线访问该支付记录。</w:t>
      </w:r>
    </w:p>
    <w:p w14:paraId="32D080E2" w14:textId="77777777" w:rsidR="00DD1E0B" w:rsidRDefault="00C924F2">
      <w:pPr>
        <w:ind w:firstLine="480"/>
      </w:pPr>
      <w:r>
        <w:t>为防止通过</w:t>
      </w:r>
      <w:r>
        <w:rPr>
          <w:rFonts w:hint="eastAsia"/>
        </w:rPr>
        <w:t>“</w:t>
      </w:r>
      <w:r>
        <w:t>房地产开发协议</w:t>
      </w:r>
      <w:r>
        <w:rPr>
          <w:rFonts w:hint="eastAsia"/>
        </w:rPr>
        <w:t>”</w:t>
      </w:r>
      <w:r>
        <w:t>获得额外收益的情况，</w:t>
      </w:r>
      <w:r>
        <w:t>ATO</w:t>
      </w:r>
      <w:r>
        <w:t>设置了一些具体的过渡规则。但是，这些过渡性规则很复杂，需要进行详细分析以确定它们是否适用于特定场景。</w:t>
      </w:r>
    </w:p>
    <w:p w14:paraId="03ED1E3F" w14:textId="77777777" w:rsidR="00DD1E0B" w:rsidRDefault="00C924F2">
      <w:pPr>
        <w:pStyle w:val="af3"/>
      </w:pPr>
      <w:r>
        <w:rPr>
          <w:rFonts w:hint="eastAsia"/>
        </w:rPr>
        <w:t>3</w:t>
      </w:r>
      <w:r>
        <w:t xml:space="preserve">.2.2 </w:t>
      </w:r>
      <w:r>
        <w:t>背景与评价</w:t>
      </w:r>
    </w:p>
    <w:p w14:paraId="3AADF695" w14:textId="77777777" w:rsidR="00DD1E0B" w:rsidRDefault="00C924F2">
      <w:pPr>
        <w:pStyle w:val="ae"/>
      </w:pPr>
      <w:r>
        <w:rPr>
          <w:rFonts w:hint="eastAsia"/>
        </w:rPr>
        <w:t>3</w:t>
      </w:r>
      <w:r>
        <w:t xml:space="preserve">.2.2.1 </w:t>
      </w:r>
      <w:r>
        <w:t>背景</w:t>
      </w:r>
    </w:p>
    <w:p w14:paraId="3ED98599" w14:textId="77777777" w:rsidR="00DD1E0B" w:rsidRDefault="00C924F2">
      <w:pPr>
        <w:ind w:firstLine="480"/>
      </w:pPr>
      <w:r>
        <w:t>房地产行业作为澳洲长期支柱产业，已有百年以上的发展历史，由于其高度透明的行业政策和成熟稳定的增长率及投资回报率，使投资者能放心地将资金投入，所以吸引了大批本国及海外投资人进行投资。近两年来，房地产行业成为了</w:t>
      </w:r>
      <w:r>
        <w:lastRenderedPageBreak/>
        <w:t>主要推动澳洲经发展的动力和支柱</w:t>
      </w:r>
      <w:r>
        <w:t>。</w:t>
      </w:r>
      <w:r>
        <w:rPr>
          <w:rFonts w:hint="eastAsia"/>
        </w:rPr>
        <w:t>为了控制房价，近年来，澳大利亚开始逐步提高首府地区的房地产税，如空置住宅土地税。</w:t>
      </w:r>
    </w:p>
    <w:p w14:paraId="39E725C2" w14:textId="77777777" w:rsidR="00DD1E0B" w:rsidRDefault="00C924F2">
      <w:pPr>
        <w:ind w:firstLine="480"/>
      </w:pPr>
      <w:r>
        <w:t>从宏观角度来看，</w:t>
      </w:r>
      <w:r>
        <w:t>2016</w:t>
      </w:r>
      <w:r>
        <w:t>年末是澳大利亚房产资本收益增长的高峰期，澳洲住宅价值在</w:t>
      </w:r>
      <w:r>
        <w:t>2016</w:t>
      </w:r>
      <w:r>
        <w:t>年最后一季度以</w:t>
      </w:r>
      <w:r>
        <w:t>3.7</w:t>
      </w:r>
      <w:r>
        <w:t>％的速度增长。到了</w:t>
      </w:r>
      <w:r>
        <w:t>2017</w:t>
      </w:r>
      <w:r>
        <w:t>年，房价增长逐渐放缓、交易数量也出现下滑。其中，在</w:t>
      </w:r>
      <w:r>
        <w:t>2017</w:t>
      </w:r>
      <w:r>
        <w:t>最后一个季度，</w:t>
      </w:r>
      <w:r>
        <w:t>10</w:t>
      </w:r>
      <w:r>
        <w:t>月份和</w:t>
      </w:r>
      <w:r>
        <w:t>11</w:t>
      </w:r>
      <w:r>
        <w:t>月份澳洲房价环比增长放缓至</w:t>
      </w:r>
      <w:r>
        <w:t>0</w:t>
      </w:r>
      <w:r>
        <w:t>％，</w:t>
      </w:r>
      <w:r>
        <w:t>12</w:t>
      </w:r>
      <w:r>
        <w:t>月份更是呈现负增长。从整个澳洲范围内来看，澳洲住房价格的下滑主要是由于首府城市下跌导致。</w:t>
      </w:r>
    </w:p>
    <w:p w14:paraId="73A061E2" w14:textId="77777777" w:rsidR="00DD1E0B" w:rsidRDefault="00C924F2">
      <w:pPr>
        <w:pStyle w:val="ae"/>
      </w:pPr>
      <w:r>
        <w:rPr>
          <w:rFonts w:hint="eastAsia"/>
        </w:rPr>
        <w:t>3</w:t>
      </w:r>
      <w:r>
        <w:t xml:space="preserve">.2.2.2 </w:t>
      </w:r>
      <w:r>
        <w:t>评价</w:t>
      </w:r>
      <w:r>
        <w:rPr>
          <w:rStyle w:val="af9"/>
          <w:rFonts w:cs="Times New Roman"/>
          <w:b w:val="0"/>
          <w:bCs w:val="0"/>
          <w:kern w:val="2"/>
          <w:szCs w:val="24"/>
        </w:rPr>
        <w:footnoteReference w:id="21"/>
      </w:r>
    </w:p>
    <w:p w14:paraId="7ED8D9E0" w14:textId="77777777" w:rsidR="00DD1E0B" w:rsidRDefault="00C924F2">
      <w:pPr>
        <w:ind w:firstLine="480"/>
      </w:pPr>
      <w:r>
        <w:t>澳大利亚是一个联邦制国家，经过长期的演变与发展，一个完善科学</w:t>
      </w:r>
      <w:r>
        <w:t>的税制已在澳大利亚确立起来。澳大利亚税收制度在诸多方面已形成了自己的特色，不仅有一个合理的税制模式，而且还存在独具特色的税收管理制度以及严密有效的税收审计机制，从而强有力地保障了税制的顺利实施。</w:t>
      </w:r>
    </w:p>
    <w:p w14:paraId="4E096917" w14:textId="674DE616" w:rsidR="00DD1E0B" w:rsidRDefault="00C924F2">
      <w:pPr>
        <w:pStyle w:val="2"/>
      </w:pPr>
      <w:bookmarkStart w:id="16" w:name="_Toc508835200"/>
      <w:r>
        <w:rPr>
          <w:rFonts w:hint="eastAsia"/>
        </w:rPr>
        <w:t>3</w:t>
      </w:r>
      <w:r>
        <w:t>.</w:t>
      </w:r>
      <w:r>
        <w:rPr>
          <w:rFonts w:hint="eastAsia"/>
        </w:rPr>
        <w:t>3</w:t>
      </w:r>
      <w:r>
        <w:t xml:space="preserve"> </w:t>
      </w:r>
      <w:r>
        <w:t>澳大利亚税务局公布国别报告指南</w:t>
      </w:r>
      <w:bookmarkEnd w:id="16"/>
    </w:p>
    <w:p w14:paraId="5A118666" w14:textId="1E95BC6E" w:rsidR="00DD1E0B" w:rsidRDefault="00C924F2">
      <w:pPr>
        <w:pStyle w:val="3"/>
      </w:pPr>
      <w:r>
        <w:rPr>
          <w:rFonts w:hint="eastAsia"/>
        </w:rPr>
        <w:t>3</w:t>
      </w:r>
      <w:r>
        <w:t>.</w:t>
      </w:r>
      <w:r>
        <w:rPr>
          <w:rFonts w:hint="eastAsia"/>
        </w:rPr>
        <w:t>3</w:t>
      </w:r>
      <w:r>
        <w:t xml:space="preserve">.1 </w:t>
      </w:r>
      <w:r>
        <w:t>内容</w:t>
      </w:r>
      <w:r>
        <w:rPr>
          <w:rStyle w:val="af9"/>
          <w:rFonts w:cs="Times New Roman"/>
          <w:b w:val="0"/>
          <w:bCs w:val="0"/>
          <w:sz w:val="21"/>
        </w:rPr>
        <w:footnoteReference w:id="22"/>
      </w:r>
    </w:p>
    <w:p w14:paraId="443D6630" w14:textId="77777777" w:rsidR="00DD1E0B" w:rsidRDefault="00C924F2">
      <w:pPr>
        <w:ind w:firstLine="480"/>
        <w:rPr>
          <w:rFonts w:cs="Times New Roman"/>
        </w:rPr>
      </w:pPr>
      <w:r>
        <w:rPr>
          <w:rFonts w:cs="Times New Roman"/>
        </w:rPr>
        <w:t>2018</w:t>
      </w:r>
      <w:r>
        <w:rPr>
          <w:rFonts w:cs="Times New Roman"/>
        </w:rPr>
        <w:t>年</w:t>
      </w:r>
      <w:r>
        <w:rPr>
          <w:rFonts w:cs="Times New Roman"/>
        </w:rPr>
        <w:t>2</w:t>
      </w:r>
      <w:r>
        <w:rPr>
          <w:rFonts w:cs="Times New Roman"/>
        </w:rPr>
        <w:t>月</w:t>
      </w:r>
      <w:r>
        <w:rPr>
          <w:rFonts w:cs="Times New Roman"/>
        </w:rPr>
        <w:t>13</w:t>
      </w:r>
      <w:r>
        <w:rPr>
          <w:rFonts w:cs="Times New Roman"/>
        </w:rPr>
        <w:t>日，澳大利亚税务局）公布新版《法律配套指南（</w:t>
      </w:r>
      <w:r>
        <w:rPr>
          <w:rFonts w:cs="Times New Roman"/>
        </w:rPr>
        <w:t>LCG2015/3</w:t>
      </w:r>
      <w:r>
        <w:rPr>
          <w:rFonts w:cs="Times New Roman"/>
        </w:rPr>
        <w:t>）》（</w:t>
      </w:r>
      <w:r>
        <w:rPr>
          <w:rFonts w:cs="Times New Roman"/>
        </w:rPr>
        <w:t>Law Companion Guideline</w:t>
      </w:r>
      <w:r>
        <w:rPr>
          <w:rFonts w:cs="Times New Roman"/>
        </w:rPr>
        <w:t>），</w:t>
      </w:r>
      <w:r>
        <w:rPr>
          <w:rFonts w:cs="Times New Roman"/>
        </w:rPr>
        <w:t>其中包括新增的国别报告指南的内容。</w:t>
      </w:r>
    </w:p>
    <w:p w14:paraId="02862AF7" w14:textId="77777777" w:rsidR="00DD1E0B" w:rsidRDefault="00C924F2">
      <w:pPr>
        <w:ind w:firstLine="480"/>
        <w:rPr>
          <w:rFonts w:cs="Times New Roman"/>
        </w:rPr>
      </w:pPr>
      <w:r>
        <w:rPr>
          <w:rFonts w:cs="Times New Roman" w:hint="eastAsia"/>
        </w:rPr>
        <w:t>（</w:t>
      </w:r>
      <w:r>
        <w:rPr>
          <w:rFonts w:cs="Times New Roman" w:hint="eastAsia"/>
        </w:rPr>
        <w:t>1</w:t>
      </w:r>
      <w:r>
        <w:rPr>
          <w:rFonts w:cs="Times New Roman" w:hint="eastAsia"/>
        </w:rPr>
        <w:t>）“全球年收入”的含义</w:t>
      </w:r>
    </w:p>
    <w:p w14:paraId="702AEBF1" w14:textId="77777777" w:rsidR="00DD1E0B" w:rsidRDefault="00C924F2">
      <w:pPr>
        <w:ind w:firstLine="480"/>
      </w:pPr>
      <w:r>
        <w:rPr>
          <w:rFonts w:hint="eastAsia"/>
        </w:rPr>
        <w:t>“全球年收入”是指本集团本期最新全球财务报表中显示的全年总收入。如果集团出于会计目的进行合并，全球母公司在一段时期内的年度全球收入是集团最近一次合并财务报表中显示的总收入。如果全球母公司是单一实体，则其全年收入为该期间最新财务报表中显示的总收入。无论采用哪种方法报告该收入，合资企业的收入都应包含在该集团的全球年收入中。</w:t>
      </w:r>
    </w:p>
    <w:p w14:paraId="39AA6ED2" w14:textId="77777777" w:rsidR="00DD1E0B" w:rsidRDefault="00C924F2">
      <w:pPr>
        <w:ind w:firstLine="480"/>
      </w:pPr>
      <w:r>
        <w:rPr>
          <w:rFonts w:hint="eastAsia"/>
        </w:rPr>
        <w:t>（</w:t>
      </w:r>
      <w:r>
        <w:rPr>
          <w:rFonts w:hint="eastAsia"/>
        </w:rPr>
        <w:t>2</w:t>
      </w:r>
      <w:r>
        <w:rPr>
          <w:rFonts w:hint="eastAsia"/>
        </w:rPr>
        <w:t>）豁免规定</w:t>
      </w:r>
    </w:p>
    <w:p w14:paraId="5A6A38D7" w14:textId="77777777" w:rsidR="00DD1E0B" w:rsidRDefault="00C924F2">
      <w:pPr>
        <w:ind w:firstLine="480"/>
      </w:pPr>
      <w:r>
        <w:rPr>
          <w:rFonts w:hint="eastAsia"/>
        </w:rPr>
        <w:t>在考虑豁免提交声明的特定情况时，税务局主要考虑的相关因素包括：该实体的风险状况，包括海外交易金额、该实体的合规</w:t>
      </w:r>
      <w:r>
        <w:rPr>
          <w:rFonts w:hint="eastAsia"/>
        </w:rPr>
        <w:t>负担、我们是否会通过其他方式收到相关的声明，例如通过全球金融账户涉税信息自动交换（</w:t>
      </w:r>
      <w:r>
        <w:rPr>
          <w:rFonts w:hint="eastAsia"/>
        </w:rPr>
        <w:t>CRS</w:t>
      </w:r>
      <w:r>
        <w:rPr>
          <w:rFonts w:hint="eastAsia"/>
        </w:rPr>
        <w:t>，</w:t>
      </w:r>
      <w:r>
        <w:rPr>
          <w:rFonts w:hint="eastAsia"/>
        </w:rPr>
        <w:t xml:space="preserve">Common </w:t>
      </w:r>
      <w:r>
        <w:rPr>
          <w:rFonts w:hint="eastAsia"/>
        </w:rPr>
        <w:lastRenderedPageBreak/>
        <w:t>Reporting Standard</w:t>
      </w:r>
      <w:r>
        <w:rPr>
          <w:rFonts w:hint="eastAsia"/>
        </w:rPr>
        <w:t>）。</w:t>
      </w:r>
    </w:p>
    <w:p w14:paraId="3813860B" w14:textId="77777777" w:rsidR="00DD1E0B" w:rsidRDefault="00C924F2">
      <w:pPr>
        <w:ind w:firstLine="480"/>
      </w:pPr>
      <w:r>
        <w:rPr>
          <w:rFonts w:hint="eastAsia"/>
        </w:rPr>
        <w:t>如果一个实体符合作为重要全球实体的要求，但不参与国际交易，则该实体可以根据其低风险状况申请豁免部分或全部的</w:t>
      </w:r>
      <w:r>
        <w:t>国别报告</w:t>
      </w:r>
      <w:r>
        <w:rPr>
          <w:rFonts w:hint="eastAsia"/>
        </w:rPr>
        <w:t>（</w:t>
      </w:r>
      <w:r>
        <w:rPr>
          <w:rFonts w:hint="eastAsia"/>
        </w:rPr>
        <w:t>CbC</w:t>
      </w:r>
      <w:r>
        <w:rPr>
          <w:rFonts w:hint="eastAsia"/>
        </w:rPr>
        <w:t>，</w:t>
      </w:r>
      <w:r>
        <w:t>country-by-country</w:t>
      </w:r>
      <w:r>
        <w:rPr>
          <w:rFonts w:hint="eastAsia"/>
        </w:rPr>
        <w:t>）报告要求。如果税收当局认为某项豁免（在适当的情况下）是不恰当的，可能会考虑要求提交简化或简短的本地文件，而不是完整的本地文件。</w:t>
      </w:r>
    </w:p>
    <w:p w14:paraId="600A2A16" w14:textId="77777777" w:rsidR="00DD1E0B" w:rsidRDefault="00C924F2">
      <w:pPr>
        <w:ind w:firstLine="480"/>
      </w:pPr>
      <w:r>
        <w:rPr>
          <w:rFonts w:hint="eastAsia"/>
        </w:rPr>
        <w:t>（</w:t>
      </w:r>
      <w:r>
        <w:rPr>
          <w:rFonts w:hint="eastAsia"/>
        </w:rPr>
        <w:t>3</w:t>
      </w:r>
      <w:r>
        <w:rPr>
          <w:rFonts w:hint="eastAsia"/>
        </w:rPr>
        <w:t>）高级定价安排（</w:t>
      </w:r>
      <w:r>
        <w:rPr>
          <w:rFonts w:hint="eastAsia"/>
        </w:rPr>
        <w:t>APA,</w:t>
      </w:r>
      <w:r>
        <w:t xml:space="preserve"> </w:t>
      </w:r>
      <w:r>
        <w:rPr>
          <w:rFonts w:hint="eastAsia"/>
        </w:rPr>
        <w:t>Advanced Pricing Arrang</w:t>
      </w:r>
      <w:r>
        <w:rPr>
          <w:rFonts w:hint="eastAsia"/>
        </w:rPr>
        <w:t>ements</w:t>
      </w:r>
      <w:r>
        <w:rPr>
          <w:rFonts w:hint="eastAsia"/>
        </w:rPr>
        <w:t>）和年度合规安排（</w:t>
      </w:r>
      <w:r>
        <w:rPr>
          <w:rFonts w:hint="eastAsia"/>
        </w:rPr>
        <w:t>ACA,</w:t>
      </w:r>
      <w:r>
        <w:t xml:space="preserve"> </w:t>
      </w:r>
      <w:r>
        <w:rPr>
          <w:rFonts w:hint="eastAsia"/>
        </w:rPr>
        <w:t>Annual Compliance Arrangements</w:t>
      </w:r>
      <w:r>
        <w:rPr>
          <w:rFonts w:hint="eastAsia"/>
        </w:rPr>
        <w:t>）</w:t>
      </w:r>
    </w:p>
    <w:p w14:paraId="00FD82E2" w14:textId="77777777" w:rsidR="00DD1E0B" w:rsidRDefault="00C924F2">
      <w:pPr>
        <w:ind w:firstLine="480"/>
      </w:pPr>
      <w:r>
        <w:rPr>
          <w:rFonts w:hint="eastAsia"/>
        </w:rPr>
        <w:t>APA</w:t>
      </w:r>
      <w:r>
        <w:rPr>
          <w:rFonts w:hint="eastAsia"/>
        </w:rPr>
        <w:t>或</w:t>
      </w:r>
      <w:r>
        <w:rPr>
          <w:rFonts w:hint="eastAsia"/>
        </w:rPr>
        <w:t>ACA</w:t>
      </w:r>
      <w:r>
        <w:rPr>
          <w:rFonts w:hint="eastAsia"/>
        </w:rPr>
        <w:t>本身并不会成为实体被豁免提供声明的理由。但是，当本地文件设计成三种有区别的批准表格时，将确保完成报表要求时避免不必要的重复。</w:t>
      </w:r>
    </w:p>
    <w:p w14:paraId="1892D95E" w14:textId="77777777" w:rsidR="00DD1E0B" w:rsidRDefault="00C924F2">
      <w:pPr>
        <w:ind w:firstLine="480"/>
        <w:rPr>
          <w:rFonts w:cs="Times New Roman"/>
        </w:rPr>
      </w:pPr>
      <w:r>
        <w:rPr>
          <w:rFonts w:cs="Times New Roman" w:hint="eastAsia"/>
        </w:rPr>
        <w:t>（</w:t>
      </w:r>
      <w:r>
        <w:rPr>
          <w:rFonts w:cs="Times New Roman" w:hint="eastAsia"/>
        </w:rPr>
        <w:t>4</w:t>
      </w:r>
      <w:r>
        <w:rPr>
          <w:rFonts w:cs="Times New Roman" w:hint="eastAsia"/>
        </w:rPr>
        <w:t>）信息要求</w:t>
      </w:r>
    </w:p>
    <w:p w14:paraId="54A9A6A4" w14:textId="77777777" w:rsidR="00DD1E0B" w:rsidRDefault="00C924F2">
      <w:pPr>
        <w:ind w:firstLine="480"/>
      </w:pPr>
      <w:r>
        <w:rPr>
          <w:rFonts w:hint="eastAsia"/>
        </w:rPr>
        <w:t>与</w:t>
      </w:r>
      <w:r>
        <w:rPr>
          <w:rFonts w:hint="eastAsia"/>
        </w:rPr>
        <w:t>CbC</w:t>
      </w:r>
      <w:r>
        <w:rPr>
          <w:rFonts w:hint="eastAsia"/>
        </w:rPr>
        <w:t>报告和主文件相对应的声明批准表格将包括</w:t>
      </w:r>
      <w:r>
        <w:rPr>
          <w:rFonts w:hint="eastAsia"/>
        </w:rPr>
        <w:t>OECD</w:t>
      </w:r>
      <w:r>
        <w:rPr>
          <w:rFonts w:hint="eastAsia"/>
        </w:rPr>
        <w:t>指南附录</w:t>
      </w:r>
      <w:r>
        <w:rPr>
          <w:rFonts w:hint="eastAsia"/>
        </w:rPr>
        <w:t>III</w:t>
      </w:r>
      <w:r>
        <w:rPr>
          <w:rFonts w:hint="eastAsia"/>
        </w:rPr>
        <w:t>和</w:t>
      </w:r>
      <w:r>
        <w:rPr>
          <w:rFonts w:hint="eastAsia"/>
        </w:rPr>
        <w:t>I</w:t>
      </w:r>
      <w:r>
        <w:rPr>
          <w:rFonts w:hint="eastAsia"/>
        </w:rPr>
        <w:t>中概述的信息。本地文件的批准表格将以经合组织指南附录</w:t>
      </w:r>
      <w:r>
        <w:rPr>
          <w:rFonts w:hint="eastAsia"/>
        </w:rPr>
        <w:t>II</w:t>
      </w:r>
      <w:r>
        <w:rPr>
          <w:rFonts w:hint="eastAsia"/>
        </w:rPr>
        <w:t>中列出的信息要求为基础，包含本地实体的管理结构和业务策略，特定跨境关联方交易数据和财务信息。</w:t>
      </w:r>
    </w:p>
    <w:p w14:paraId="0B6ACF77" w14:textId="716A91D6" w:rsidR="00DD1E0B" w:rsidRDefault="00C924F2">
      <w:pPr>
        <w:pStyle w:val="af3"/>
      </w:pPr>
      <w:r>
        <w:rPr>
          <w:rFonts w:hint="eastAsia"/>
        </w:rPr>
        <w:t>3</w:t>
      </w:r>
      <w:r>
        <w:t>.</w:t>
      </w:r>
      <w:r>
        <w:rPr>
          <w:rFonts w:hint="eastAsia"/>
        </w:rPr>
        <w:t>3</w:t>
      </w:r>
      <w:r>
        <w:t xml:space="preserve">.2 </w:t>
      </w:r>
      <w:r>
        <w:t>背景与评价</w:t>
      </w:r>
    </w:p>
    <w:p w14:paraId="1BA5B6FD" w14:textId="2069C2B1" w:rsidR="00DD1E0B" w:rsidRDefault="00C924F2">
      <w:pPr>
        <w:pStyle w:val="ae"/>
      </w:pPr>
      <w:r>
        <w:rPr>
          <w:rFonts w:hint="eastAsia"/>
        </w:rPr>
        <w:t>3</w:t>
      </w:r>
      <w:r>
        <w:t>.</w:t>
      </w:r>
      <w:r>
        <w:rPr>
          <w:rFonts w:hint="eastAsia"/>
        </w:rPr>
        <w:t>3</w:t>
      </w:r>
      <w:r>
        <w:t xml:space="preserve">.2.1 </w:t>
      </w:r>
      <w:r>
        <w:t>背景</w:t>
      </w:r>
      <w:r>
        <w:rPr>
          <w:rStyle w:val="af9"/>
          <w:rFonts w:cs="Times New Roman"/>
          <w:b w:val="0"/>
          <w:bCs w:val="0"/>
          <w:kern w:val="2"/>
          <w:szCs w:val="24"/>
        </w:rPr>
        <w:footnoteReference w:id="23"/>
      </w:r>
    </w:p>
    <w:p w14:paraId="58407FE0" w14:textId="77777777" w:rsidR="00DD1E0B" w:rsidRDefault="00C924F2">
      <w:pPr>
        <w:ind w:firstLine="480"/>
      </w:pPr>
      <w:r>
        <w:t>国别报告是税务机关实施高级别转让定价风险评估，或者评价其他税基侵蚀和利润转移风险的一项工具，是转让定价工具包中重要的组成部分</w:t>
      </w:r>
      <w:r>
        <w:rPr>
          <w:rFonts w:hint="eastAsia"/>
        </w:rPr>
        <w:t>，</w:t>
      </w:r>
      <w:r>
        <w:t>旨在通过国家之间更全面的信息交流来打击避税的</w:t>
      </w:r>
      <w:r>
        <w:rPr>
          <w:rFonts w:hint="eastAsia"/>
        </w:rPr>
        <w:t>有效</w:t>
      </w:r>
      <w:r>
        <w:t>措施。</w:t>
      </w:r>
      <w:r>
        <w:t>CbC</w:t>
      </w:r>
      <w:r>
        <w:t>报告</w:t>
      </w:r>
      <w:r>
        <w:rPr>
          <w:rFonts w:hint="eastAsia"/>
        </w:rPr>
        <w:t>是</w:t>
      </w:r>
      <w:r>
        <w:t xml:space="preserve">OECD / G20 </w:t>
      </w:r>
      <w:r>
        <w:t>基础侵蚀和利润转移行动</w:t>
      </w:r>
      <w:r>
        <w:t>13</w:t>
      </w:r>
      <w:r>
        <w:rPr>
          <w:rFonts w:hint="eastAsia"/>
        </w:rPr>
        <w:t>的重要成果</w:t>
      </w:r>
      <w:r>
        <w:t>。</w:t>
      </w:r>
    </w:p>
    <w:p w14:paraId="3D76915D" w14:textId="77777777" w:rsidR="00DD1E0B" w:rsidRDefault="00C924F2">
      <w:pPr>
        <w:ind w:firstLine="480"/>
      </w:pPr>
      <w:r>
        <w:rPr>
          <w:rFonts w:hint="eastAsia"/>
        </w:rPr>
        <w:t>澳大利亚于</w:t>
      </w:r>
      <w:r>
        <w:t>2015</w:t>
      </w:r>
      <w:r>
        <w:t>年</w:t>
      </w:r>
      <w:r>
        <w:t>12</w:t>
      </w:r>
      <w:r>
        <w:t>月通过了</w:t>
      </w:r>
      <w:r>
        <w:rPr>
          <w:rFonts w:hint="eastAsia"/>
        </w:rPr>
        <w:t>《</w:t>
      </w:r>
      <w:r>
        <w:t>税法修正案（打击跨国避税）</w:t>
      </w:r>
      <w:r>
        <w:rPr>
          <w:rFonts w:hint="eastAsia"/>
        </w:rPr>
        <w:t>》</w:t>
      </w:r>
      <w:r>
        <w:t>，</w:t>
      </w:r>
      <w:r>
        <w:rPr>
          <w:rFonts w:hint="eastAsia"/>
        </w:rPr>
        <w:t>法案规定自</w:t>
      </w:r>
      <w:r>
        <w:rPr>
          <w:rFonts w:hint="eastAsia"/>
        </w:rPr>
        <w:t>2016</w:t>
      </w:r>
      <w:r>
        <w:rPr>
          <w:rFonts w:hint="eastAsia"/>
        </w:rPr>
        <w:t>年</w:t>
      </w:r>
      <w:r>
        <w:rPr>
          <w:rFonts w:hint="eastAsia"/>
        </w:rPr>
        <w:t>1</w:t>
      </w:r>
      <w:r>
        <w:rPr>
          <w:rFonts w:hint="eastAsia"/>
        </w:rPr>
        <w:t>月</w:t>
      </w:r>
      <w:r>
        <w:rPr>
          <w:rFonts w:hint="eastAsia"/>
        </w:rPr>
        <w:t>1</w:t>
      </w:r>
      <w:r>
        <w:rPr>
          <w:rFonts w:hint="eastAsia"/>
        </w:rPr>
        <w:t>日起，</w:t>
      </w:r>
      <w:r>
        <w:t>澳大利亚</w:t>
      </w:r>
      <w:r>
        <w:rPr>
          <w:rFonts w:hint="eastAsia"/>
        </w:rPr>
        <w:t>正式</w:t>
      </w:r>
      <w:r>
        <w:t>实施</w:t>
      </w:r>
      <w:r>
        <w:t>CbC</w:t>
      </w:r>
      <w:r>
        <w:t>报告</w:t>
      </w:r>
      <w:r>
        <w:rPr>
          <w:rFonts w:hint="eastAsia"/>
        </w:rPr>
        <w:t>，</w:t>
      </w:r>
      <w:r>
        <w:t>要求某些实体提交</w:t>
      </w:r>
      <w:r>
        <w:t>CbC</w:t>
      </w:r>
      <w:r>
        <w:t>报告</w:t>
      </w:r>
      <w:r>
        <w:rPr>
          <w:rFonts w:hint="eastAsia"/>
        </w:rPr>
        <w:t>、</w:t>
      </w:r>
      <w:r>
        <w:t>主文件</w:t>
      </w:r>
      <w:r>
        <w:rPr>
          <w:rFonts w:hint="eastAsia"/>
        </w:rPr>
        <w:t>和</w:t>
      </w:r>
      <w:r>
        <w:t>本地文件</w:t>
      </w:r>
      <w:r>
        <w:rPr>
          <w:rFonts w:hint="eastAsia"/>
        </w:rPr>
        <w:t>这</w:t>
      </w:r>
      <w:r>
        <w:t>三个声明</w:t>
      </w:r>
      <w:r>
        <w:rPr>
          <w:rFonts w:hint="eastAsia"/>
        </w:rPr>
        <w:t>。</w:t>
      </w:r>
      <w:r>
        <w:t>这些声明包含有关国际关联方交易</w:t>
      </w:r>
      <w:r>
        <w:rPr>
          <w:rFonts w:hint="eastAsia"/>
        </w:rPr>
        <w:t>、</w:t>
      </w:r>
      <w:r>
        <w:t>收入</w:t>
      </w:r>
      <w:r>
        <w:rPr>
          <w:rFonts w:hint="eastAsia"/>
        </w:rPr>
        <w:t>、</w:t>
      </w:r>
      <w:r>
        <w:t>利润和</w:t>
      </w:r>
      <w:r>
        <w:rPr>
          <w:rFonts w:hint="eastAsia"/>
        </w:rPr>
        <w:t>在</w:t>
      </w:r>
      <w:r>
        <w:t>司法管辖区</w:t>
      </w:r>
      <w:r>
        <w:t>支付的税款的详细信息。</w:t>
      </w:r>
      <w:r>
        <w:rPr>
          <w:rFonts w:hint="eastAsia"/>
        </w:rPr>
        <w:t>近年来，澳大利亚转让定价的发展有目共睹，澳大利亚税务局根据</w:t>
      </w:r>
      <w:r>
        <w:rPr>
          <w:rFonts w:hint="eastAsia"/>
        </w:rPr>
        <w:t>OECD</w:t>
      </w:r>
      <w:r>
        <w:rPr>
          <w:rFonts w:hint="eastAsia"/>
        </w:rPr>
        <w:t>转定价指南中的规定，不断修订本国制度，在积极借鉴</w:t>
      </w:r>
      <w:r>
        <w:rPr>
          <w:rFonts w:hint="eastAsia"/>
        </w:rPr>
        <w:t>OECD</w:t>
      </w:r>
      <w:r>
        <w:rPr>
          <w:rFonts w:hint="eastAsia"/>
        </w:rPr>
        <w:t>方针的同时，形成了澳大利亚特有的税制。</w:t>
      </w:r>
    </w:p>
    <w:p w14:paraId="08B36039" w14:textId="145ED533" w:rsidR="00DD1E0B" w:rsidRDefault="00C924F2">
      <w:pPr>
        <w:pStyle w:val="ae"/>
      </w:pPr>
      <w:r>
        <w:rPr>
          <w:rFonts w:hint="eastAsia"/>
        </w:rPr>
        <w:t>3</w:t>
      </w:r>
      <w:r>
        <w:t>.</w:t>
      </w:r>
      <w:r>
        <w:rPr>
          <w:rFonts w:hint="eastAsia"/>
        </w:rPr>
        <w:t>3</w:t>
      </w:r>
      <w:r>
        <w:t xml:space="preserve">.2.2 </w:t>
      </w:r>
      <w:r>
        <w:t>评价</w:t>
      </w:r>
    </w:p>
    <w:p w14:paraId="647F3077" w14:textId="77777777" w:rsidR="00DD1E0B" w:rsidRDefault="00C924F2">
      <w:pPr>
        <w:ind w:firstLine="480"/>
        <w:rPr>
          <w:b/>
        </w:rPr>
      </w:pPr>
      <w:r>
        <w:lastRenderedPageBreak/>
        <w:t>国别报告制度使各国更加紧密地加强税收征管合作，促进跨国企业增强税收透明度，减少其涉税风险，使跨国企业的商业筹划和各国的税源管理更趋合理。</w:t>
      </w:r>
      <w:r>
        <w:rPr>
          <w:rFonts w:hint="eastAsia"/>
        </w:rPr>
        <w:t>澳大利亚的转让定价税收制度基本遵循</w:t>
      </w:r>
      <w:r>
        <w:rPr>
          <w:rFonts w:hint="eastAsia"/>
        </w:rPr>
        <w:t>OECD</w:t>
      </w:r>
      <w:r>
        <w:rPr>
          <w:rFonts w:hint="eastAsia"/>
        </w:rPr>
        <w:t>转让定价指南，但从赋予税务机关对于交易条件进行重新定性的权利等方面可以看出，澳大利亚的转让定价税制更为严格，同时，随着</w:t>
      </w:r>
      <w:r>
        <w:rPr>
          <w:rFonts w:hint="eastAsia"/>
        </w:rPr>
        <w:t>OECD</w:t>
      </w:r>
      <w:r>
        <w:rPr>
          <w:rFonts w:hint="eastAsia"/>
        </w:rPr>
        <w:t>税基侵蚀和利润转移行动计划的推行，转让定价已成为全球的热点，在此大背景下，预计澳大利亚税务机关会进一步加强转让定价合规管理。</w:t>
      </w:r>
      <w:r>
        <w:rPr>
          <w:rStyle w:val="af9"/>
          <w:rFonts w:cs="Times New Roman" w:hint="eastAsia"/>
          <w:b/>
        </w:rPr>
        <w:footnoteReference w:id="24"/>
      </w:r>
    </w:p>
    <w:p w14:paraId="2219E01A" w14:textId="77777777" w:rsidR="00DD1E0B" w:rsidRDefault="00DD1E0B">
      <w:pPr>
        <w:ind w:firstLine="480"/>
        <w:rPr>
          <w:rFonts w:cs="Times New Roman"/>
        </w:rPr>
      </w:pPr>
    </w:p>
    <w:p w14:paraId="55B6FC11" w14:textId="77777777" w:rsidR="00DD1E0B" w:rsidRDefault="00C924F2">
      <w:pPr>
        <w:pStyle w:val="1"/>
      </w:pPr>
      <w:bookmarkStart w:id="17" w:name="_Toc508835201"/>
      <w:r>
        <w:rPr>
          <w:rFonts w:hint="eastAsia"/>
        </w:rPr>
        <w:t>4</w:t>
      </w:r>
      <w:r>
        <w:t xml:space="preserve"> </w:t>
      </w:r>
      <w:r>
        <w:t>菲律宾</w:t>
      </w:r>
      <w:bookmarkEnd w:id="17"/>
      <w:r>
        <w:t xml:space="preserve"> </w:t>
      </w:r>
    </w:p>
    <w:p w14:paraId="67F101F9" w14:textId="77777777" w:rsidR="00DD1E0B" w:rsidRDefault="00DD1E0B">
      <w:pPr>
        <w:ind w:firstLine="480"/>
        <w:rPr>
          <w:rFonts w:cs="Times New Roman"/>
        </w:rPr>
      </w:pPr>
    </w:p>
    <w:p w14:paraId="23E59995" w14:textId="77777777" w:rsidR="00DD1E0B" w:rsidRDefault="00C924F2">
      <w:pPr>
        <w:pStyle w:val="2"/>
      </w:pPr>
      <w:bookmarkStart w:id="18" w:name="_Toc508835202"/>
      <w:r>
        <w:rPr>
          <w:rFonts w:hint="eastAsia"/>
        </w:rPr>
        <w:t>4</w:t>
      </w:r>
      <w:r>
        <w:t xml:space="preserve">.1 </w:t>
      </w:r>
      <w:r>
        <w:t>菲律宾参议院批准</w:t>
      </w:r>
      <w:r>
        <w:rPr>
          <w:rFonts w:hint="eastAsia"/>
        </w:rPr>
        <w:t>三项避免</w:t>
      </w:r>
      <w:r>
        <w:t>双重征税协定</w:t>
      </w:r>
      <w:bookmarkEnd w:id="18"/>
    </w:p>
    <w:p w14:paraId="3A41A0BA" w14:textId="77777777" w:rsidR="00DD1E0B" w:rsidRDefault="00C924F2">
      <w:pPr>
        <w:pStyle w:val="3"/>
      </w:pPr>
      <w:r>
        <w:rPr>
          <w:rFonts w:hint="eastAsia"/>
        </w:rPr>
        <w:t>4</w:t>
      </w:r>
      <w:r>
        <w:t xml:space="preserve">.1.1 </w:t>
      </w:r>
      <w:r>
        <w:t>内容</w:t>
      </w:r>
      <w:r>
        <w:rPr>
          <w:rStyle w:val="af9"/>
          <w:rFonts w:cs="Times New Roman"/>
        </w:rPr>
        <w:footnoteReference w:id="25"/>
      </w:r>
    </w:p>
    <w:p w14:paraId="13BCB190" w14:textId="77777777" w:rsidR="00DD1E0B" w:rsidRDefault="00C924F2">
      <w:pPr>
        <w:ind w:firstLine="480"/>
      </w:pPr>
      <w:r>
        <w:t>2</w:t>
      </w:r>
      <w:r>
        <w:t>月</w:t>
      </w:r>
      <w:r>
        <w:t>19</w:t>
      </w:r>
      <w:r>
        <w:t>日，菲律宾参议院通过了三项决议，批准与墨西哥，泰国和斯里兰卡</w:t>
      </w:r>
      <w:r>
        <w:rPr>
          <w:rFonts w:hint="eastAsia"/>
        </w:rPr>
        <w:t>的</w:t>
      </w:r>
      <w:r>
        <w:t>避免双重征税协定</w:t>
      </w:r>
      <w:r>
        <w:rPr>
          <w:rFonts w:hint="eastAsia"/>
        </w:rPr>
        <w:t>（</w:t>
      </w:r>
      <w:r>
        <w:t>DTTA</w:t>
      </w:r>
      <w:r>
        <w:rPr>
          <w:rFonts w:hint="eastAsia"/>
        </w:rPr>
        <w:t>,</w:t>
      </w:r>
      <w:r>
        <w:t xml:space="preserve"> </w:t>
      </w:r>
      <w:r>
        <w:rPr>
          <w:rFonts w:hint="eastAsia"/>
        </w:rPr>
        <w:t xml:space="preserve">Avoidance of Double Taxation </w:t>
      </w:r>
      <w:r>
        <w:rPr>
          <w:rFonts w:hint="eastAsia"/>
        </w:rPr>
        <w:t>）</w:t>
      </w:r>
      <w:r>
        <w:t>。</w:t>
      </w:r>
      <w:r>
        <w:rPr>
          <w:rFonts w:hint="eastAsia"/>
        </w:rPr>
        <w:t>这三份协定分别</w:t>
      </w:r>
      <w:r>
        <w:t>原定于</w:t>
      </w:r>
      <w:r>
        <w:t>2017</w:t>
      </w:r>
      <w:r>
        <w:t>年</w:t>
      </w:r>
      <w:r>
        <w:t>11</w:t>
      </w:r>
      <w:r>
        <w:t>月</w:t>
      </w:r>
      <w:r>
        <w:t>15</w:t>
      </w:r>
      <w:r>
        <w:t>日与墨西哥签订</w:t>
      </w:r>
      <w:r>
        <w:rPr>
          <w:rFonts w:hint="eastAsia"/>
        </w:rPr>
        <w:t>，</w:t>
      </w:r>
      <w:r>
        <w:t>于</w:t>
      </w:r>
      <w:r>
        <w:t>2013</w:t>
      </w:r>
      <w:r>
        <w:t>年</w:t>
      </w:r>
      <w:r>
        <w:t>6</w:t>
      </w:r>
      <w:r>
        <w:t>月</w:t>
      </w:r>
      <w:r>
        <w:t>21</w:t>
      </w:r>
      <w:r>
        <w:t>日与泰国签</w:t>
      </w:r>
      <w:r>
        <w:rPr>
          <w:rFonts w:hint="eastAsia"/>
        </w:rPr>
        <w:t>订</w:t>
      </w:r>
      <w:r>
        <w:t>，于</w:t>
      </w:r>
      <w:r>
        <w:t>2000</w:t>
      </w:r>
      <w:r>
        <w:t>年</w:t>
      </w:r>
      <w:r>
        <w:t>12</w:t>
      </w:r>
      <w:r>
        <w:t>月</w:t>
      </w:r>
      <w:r>
        <w:t>11</w:t>
      </w:r>
      <w:r>
        <w:t>日与斯里兰卡签署。</w:t>
      </w:r>
    </w:p>
    <w:p w14:paraId="48F49DC8" w14:textId="77777777" w:rsidR="00DD1E0B" w:rsidRDefault="00C924F2">
      <w:pPr>
        <w:pStyle w:val="af3"/>
      </w:pPr>
      <w:r>
        <w:rPr>
          <w:rFonts w:hint="eastAsia"/>
        </w:rPr>
        <w:t>4</w:t>
      </w:r>
      <w:r>
        <w:t xml:space="preserve">.1.2 </w:t>
      </w:r>
      <w:r>
        <w:t>背景与评价</w:t>
      </w:r>
    </w:p>
    <w:p w14:paraId="6B55E289" w14:textId="77777777" w:rsidR="00DD1E0B" w:rsidRDefault="00C924F2">
      <w:pPr>
        <w:ind w:firstLineChars="0" w:firstLine="0"/>
        <w:rPr>
          <w:rFonts w:cs="Times New Roman"/>
          <w:b/>
          <w:bCs/>
        </w:rPr>
      </w:pPr>
      <w:r>
        <w:rPr>
          <w:rFonts w:cs="Times New Roman" w:hint="eastAsia"/>
          <w:b/>
          <w:bCs/>
        </w:rPr>
        <w:t>4</w:t>
      </w:r>
      <w:r>
        <w:rPr>
          <w:rFonts w:cs="Times New Roman"/>
          <w:b/>
          <w:bCs/>
        </w:rPr>
        <w:t>.1.2</w:t>
      </w:r>
      <w:r>
        <w:rPr>
          <w:rFonts w:cs="Times New Roman" w:hint="eastAsia"/>
          <w:b/>
          <w:bCs/>
        </w:rPr>
        <w:t>.1</w:t>
      </w:r>
      <w:r>
        <w:rPr>
          <w:rFonts w:cs="Times New Roman"/>
          <w:b/>
          <w:bCs/>
        </w:rPr>
        <w:t xml:space="preserve"> </w:t>
      </w:r>
      <w:r>
        <w:rPr>
          <w:rFonts w:cs="Times New Roman"/>
          <w:b/>
          <w:bCs/>
        </w:rPr>
        <w:t>背景</w:t>
      </w:r>
      <w:r>
        <w:rPr>
          <w:rStyle w:val="af9"/>
          <w:rFonts w:cs="Times New Roman"/>
        </w:rPr>
        <w:footnoteReference w:id="26"/>
      </w:r>
    </w:p>
    <w:p w14:paraId="3BE68850" w14:textId="77777777" w:rsidR="00DD1E0B" w:rsidRDefault="00C924F2">
      <w:pPr>
        <w:ind w:firstLine="480"/>
      </w:pPr>
      <w:r>
        <w:t>避免双重税收协定是指国家间为了避免和消除向同一纳税人、在同一所得的基础上重复征税，根据平等互惠原则而签订的双边税收协定。由于各国经济发展水平的差异，国家间资金和技术流向</w:t>
      </w:r>
      <w:r>
        <w:rPr>
          <w:rFonts w:hint="eastAsia"/>
        </w:rPr>
        <w:t>的不同</w:t>
      </w:r>
      <w:r>
        <w:t>，各国征收所得税，都不同程度地基于所得来源地原则和纳税人居住地原则行使税收管辖权。如果纳税人居住地国与其取得所得的来源地国之间没有作出双方都能接受的协调安排，往往造成征税重叠，不仅会加重纳税人的负担，也不利于国际间的经济、技术和人才交流。因此，第二次世界大战后，随着国际间资金流动、劳务交流和</w:t>
      </w:r>
      <w:r>
        <w:t>贸易往来的发展，在国与</w:t>
      </w:r>
      <w:r>
        <w:lastRenderedPageBreak/>
        <w:t>国间签订避免双重税收协定，已日益受到国际上的重视。</w:t>
      </w:r>
    </w:p>
    <w:p w14:paraId="16083025" w14:textId="77777777" w:rsidR="00DD1E0B" w:rsidRDefault="00C924F2">
      <w:pPr>
        <w:pStyle w:val="ae"/>
      </w:pPr>
      <w:r>
        <w:rPr>
          <w:rFonts w:hint="eastAsia"/>
        </w:rPr>
        <w:t>4</w:t>
      </w:r>
      <w:r>
        <w:t>.1.2</w:t>
      </w:r>
      <w:r>
        <w:rPr>
          <w:rFonts w:hint="eastAsia"/>
        </w:rPr>
        <w:t>.2</w:t>
      </w:r>
      <w:r>
        <w:t xml:space="preserve"> </w:t>
      </w:r>
      <w:r>
        <w:t>评价</w:t>
      </w:r>
    </w:p>
    <w:p w14:paraId="532BAF11" w14:textId="77777777" w:rsidR="00DD1E0B" w:rsidRDefault="00C924F2">
      <w:pPr>
        <w:ind w:firstLine="480"/>
        <w:rPr>
          <w:rFonts w:cs="Times New Roman"/>
        </w:rPr>
      </w:pPr>
      <w:r>
        <w:rPr>
          <w:rFonts w:cs="Times New Roman"/>
        </w:rPr>
        <w:t>这些协议旨在促进国际贸易和投资，通过在各缔约国之间分配税收管辖权来消除或减轻对收入的双重征税，为</w:t>
      </w:r>
      <w:r>
        <w:rPr>
          <w:rFonts w:cs="Times New Roman" w:hint="eastAsia"/>
        </w:rPr>
        <w:t>双边国家</w:t>
      </w:r>
      <w:r>
        <w:rPr>
          <w:rFonts w:cs="Times New Roman"/>
        </w:rPr>
        <w:t>的居民创造竞争优势，鼓励投资并促进技术和技能的入境转让。</w:t>
      </w:r>
    </w:p>
    <w:p w14:paraId="4DE7FEC9" w14:textId="77777777" w:rsidR="00DD1E0B" w:rsidRDefault="00DD1E0B">
      <w:pPr>
        <w:ind w:firstLine="480"/>
        <w:rPr>
          <w:rFonts w:cs="Times New Roman"/>
        </w:rPr>
      </w:pPr>
    </w:p>
    <w:p w14:paraId="5826362A" w14:textId="77777777" w:rsidR="00DD1E0B" w:rsidRDefault="00C924F2">
      <w:pPr>
        <w:pStyle w:val="1"/>
      </w:pPr>
      <w:bookmarkStart w:id="19" w:name="_Toc508835203"/>
      <w:r>
        <w:rPr>
          <w:rFonts w:hint="eastAsia"/>
        </w:rPr>
        <w:t>5</w:t>
      </w:r>
      <w:r>
        <w:t xml:space="preserve"> </w:t>
      </w:r>
      <w:r>
        <w:t>泰国</w:t>
      </w:r>
      <w:bookmarkEnd w:id="19"/>
      <w:r>
        <w:t xml:space="preserve"> </w:t>
      </w:r>
    </w:p>
    <w:p w14:paraId="4CF8DE98" w14:textId="77777777" w:rsidR="00DD1E0B" w:rsidRDefault="00DD1E0B">
      <w:pPr>
        <w:ind w:firstLine="480"/>
        <w:rPr>
          <w:rFonts w:cs="Times New Roman"/>
        </w:rPr>
      </w:pPr>
    </w:p>
    <w:p w14:paraId="0280584C" w14:textId="77777777" w:rsidR="00DD1E0B" w:rsidRDefault="00C924F2">
      <w:pPr>
        <w:pStyle w:val="2"/>
      </w:pPr>
      <w:bookmarkStart w:id="20" w:name="_Toc508835204"/>
      <w:r>
        <w:rPr>
          <w:rFonts w:hint="eastAsia"/>
        </w:rPr>
        <w:t>5</w:t>
      </w:r>
      <w:r>
        <w:t xml:space="preserve">.1 </w:t>
      </w:r>
      <w:r>
        <w:t>泰国《电子商务税法》</w:t>
      </w:r>
      <w:r>
        <w:rPr>
          <w:rFonts w:hint="eastAsia"/>
        </w:rPr>
        <w:t>草案</w:t>
      </w:r>
      <w:r>
        <w:t>（第二稿）结束咨询</w:t>
      </w:r>
      <w:bookmarkEnd w:id="20"/>
    </w:p>
    <w:p w14:paraId="10C7FE61" w14:textId="77777777" w:rsidR="00DD1E0B" w:rsidRDefault="00C924F2">
      <w:pPr>
        <w:pStyle w:val="3"/>
      </w:pPr>
      <w:bookmarkStart w:id="21" w:name="_Toc508835205"/>
      <w:r>
        <w:rPr>
          <w:rFonts w:hint="eastAsia"/>
        </w:rPr>
        <w:t>5</w:t>
      </w:r>
      <w:r>
        <w:t xml:space="preserve">.1.1 </w:t>
      </w:r>
      <w:r>
        <w:t>内容</w:t>
      </w:r>
      <w:bookmarkEnd w:id="21"/>
    </w:p>
    <w:p w14:paraId="63768D81" w14:textId="77777777" w:rsidR="00DD1E0B" w:rsidRDefault="00C924F2">
      <w:pPr>
        <w:ind w:firstLine="480"/>
      </w:pPr>
      <w:r>
        <w:t>2018</w:t>
      </w:r>
      <w:r>
        <w:t>年</w:t>
      </w:r>
      <w:r>
        <w:t>2</w:t>
      </w:r>
      <w:r>
        <w:t>月</w:t>
      </w:r>
      <w:r>
        <w:t>9</w:t>
      </w:r>
      <w:r>
        <w:t>日</w:t>
      </w:r>
      <w:r>
        <w:rPr>
          <w:rFonts w:hint="eastAsia"/>
        </w:rPr>
        <w:t>，泰国《电子商务税法》草案（第二稿）结束咨询</w:t>
      </w:r>
      <w:r>
        <w:t>。</w:t>
      </w:r>
      <w:r>
        <w:rPr>
          <w:rFonts w:hint="eastAsia"/>
        </w:rPr>
        <w:t>法案将在《皇家宪报》发表</w:t>
      </w:r>
      <w:r>
        <w:rPr>
          <w:rFonts w:hint="eastAsia"/>
        </w:rPr>
        <w:t>180</w:t>
      </w:r>
      <w:r>
        <w:rPr>
          <w:rFonts w:hint="eastAsia"/>
        </w:rPr>
        <w:t>天后生效。</w:t>
      </w:r>
    </w:p>
    <w:p w14:paraId="561F7C88" w14:textId="77777777" w:rsidR="00DD1E0B" w:rsidRDefault="00C924F2">
      <w:pPr>
        <w:ind w:firstLine="480"/>
      </w:pPr>
      <w:r>
        <w:t>目前的</w:t>
      </w:r>
      <w:r>
        <w:rPr>
          <w:rFonts w:hint="eastAsia"/>
        </w:rPr>
        <w:t>法案比之前的</w:t>
      </w:r>
      <w:r>
        <w:t>版本</w:t>
      </w:r>
      <w:r>
        <w:rPr>
          <w:rFonts w:hint="eastAsia"/>
        </w:rPr>
        <w:t>进行了更加细化的修改</w:t>
      </w:r>
      <w:r>
        <w:t>。最重要的是通过修改</w:t>
      </w:r>
      <w:r>
        <w:t>收入法规中的现行增值税条款，将非增值税登记人员的电子商务交易纳入泰国增值税的范围。虽然业界人士对此表示欢迎</w:t>
      </w:r>
      <w:r>
        <w:rPr>
          <w:rFonts w:hint="eastAsia"/>
        </w:rPr>
        <w:t>，</w:t>
      </w:r>
      <w:r>
        <w:t>但政府</w:t>
      </w:r>
      <w:r>
        <w:rPr>
          <w:rFonts w:hint="eastAsia"/>
        </w:rPr>
        <w:t>和税收</w:t>
      </w:r>
      <w:r>
        <w:t>当局并无作出进一步修订处理先前提高的公司所得税和预扣税问题。</w:t>
      </w:r>
    </w:p>
    <w:p w14:paraId="10F9521D" w14:textId="77777777" w:rsidR="00DD1E0B" w:rsidRDefault="00C924F2">
      <w:pPr>
        <w:ind w:firstLine="480"/>
      </w:pPr>
      <w:r>
        <w:t>目前拟议的增值税修正案草案要求外国公司通过电子媒介向泰国境内</w:t>
      </w:r>
      <w:r>
        <w:rPr>
          <w:rFonts w:hint="eastAsia"/>
        </w:rPr>
        <w:t>的</w:t>
      </w:r>
      <w:r>
        <w:t>非增值税注册人提供服务</w:t>
      </w:r>
      <w:r>
        <w:rPr>
          <w:rFonts w:hint="eastAsia"/>
        </w:rPr>
        <w:t>，</w:t>
      </w:r>
      <w:r>
        <w:t>如果其年度增值税收入超过</w:t>
      </w:r>
      <w:r>
        <w:t>180</w:t>
      </w:r>
      <w:r>
        <w:t>万泰铢的登记门槛</w:t>
      </w:r>
      <w:r>
        <w:rPr>
          <w:rFonts w:hint="eastAsia"/>
        </w:rPr>
        <w:t>，</w:t>
      </w:r>
      <w:r>
        <w:t>则需要注册</w:t>
      </w:r>
      <w:r>
        <w:rPr>
          <w:rFonts w:hint="eastAsia"/>
        </w:rPr>
        <w:t>并</w:t>
      </w:r>
      <w:r>
        <w:t>缴纳增值税。外国公司通过外国</w:t>
      </w:r>
      <w:r>
        <w:rPr>
          <w:rFonts w:hint="eastAsia"/>
        </w:rPr>
        <w:t>“</w:t>
      </w:r>
      <w:r>
        <w:t>平台</w:t>
      </w:r>
      <w:r>
        <w:rPr>
          <w:rFonts w:hint="eastAsia"/>
        </w:rPr>
        <w:t>”</w:t>
      </w:r>
      <w:r>
        <w:t>提供服务的，一旦外国运营商所得收入超过登记限额，</w:t>
      </w:r>
      <w:r>
        <w:t xml:space="preserve"> </w:t>
      </w:r>
      <w:r>
        <w:t>则要求平台所有者必须注册并</w:t>
      </w:r>
      <w:r>
        <w:rPr>
          <w:rFonts w:hint="eastAsia"/>
        </w:rPr>
        <w:t>缴纳</w:t>
      </w:r>
      <w:r>
        <w:t>增值税。</w:t>
      </w:r>
    </w:p>
    <w:p w14:paraId="47CFDACE" w14:textId="77777777" w:rsidR="00DD1E0B" w:rsidRDefault="00C924F2">
      <w:pPr>
        <w:ind w:firstLine="480"/>
      </w:pPr>
      <w:r>
        <w:t>注册增值税的外国公司</w:t>
      </w:r>
      <w:r>
        <w:rPr>
          <w:rFonts w:hint="eastAsia"/>
        </w:rPr>
        <w:t>从非增值税登记者处收到的服务费也被要求缴纳增值税，</w:t>
      </w:r>
      <w:r>
        <w:t>但不允许向泰国客户收取增值税。如果无法通过提价将增值税转嫁给消费者，那么外国电子商务公司将不得不承担增值税的成本，从而降低其利润率。对于支付的费用，外国公司不得享受进项增值税抵扣或增值税退税。</w:t>
      </w:r>
    </w:p>
    <w:p w14:paraId="0C09FA7D" w14:textId="77777777" w:rsidR="00DD1E0B" w:rsidRDefault="00C924F2">
      <w:pPr>
        <w:ind w:firstLine="480"/>
      </w:pPr>
      <w:r>
        <w:t>为了确认服务的接受者是否注册了增值税，外国公司需要请求其客户申报</w:t>
      </w:r>
      <w:r>
        <w:rPr>
          <w:rFonts w:hint="eastAsia"/>
        </w:rPr>
        <w:t>他们的</w:t>
      </w:r>
      <w:r>
        <w:t>增值税号码。目前尚不清楚</w:t>
      </w:r>
      <w:r>
        <w:rPr>
          <w:rFonts w:hint="eastAsia"/>
        </w:rPr>
        <w:t>，</w:t>
      </w:r>
      <w:r>
        <w:t>仅仅是一项声明是否足够</w:t>
      </w:r>
      <w:r>
        <w:rPr>
          <w:rFonts w:hint="eastAsia"/>
        </w:rPr>
        <w:t>，</w:t>
      </w:r>
      <w:r>
        <w:t>还是</w:t>
      </w:r>
      <w:r>
        <w:rPr>
          <w:rFonts w:hint="eastAsia"/>
        </w:rPr>
        <w:t>需要</w:t>
      </w:r>
      <w:r>
        <w:t>将举证责任放在外国公司身上。</w:t>
      </w:r>
    </w:p>
    <w:p w14:paraId="75DB453B" w14:textId="77777777" w:rsidR="00DD1E0B" w:rsidRDefault="00C924F2">
      <w:pPr>
        <w:ind w:firstLine="480"/>
      </w:pPr>
      <w:r>
        <w:rPr>
          <w:rFonts w:hint="eastAsia"/>
        </w:rPr>
        <w:t>新法案</w:t>
      </w:r>
      <w:r>
        <w:t>将引入</w:t>
      </w:r>
      <w:r>
        <w:rPr>
          <w:rFonts w:hint="eastAsia"/>
        </w:rPr>
        <w:t>更加</w:t>
      </w:r>
      <w:r>
        <w:t>简化的在线注册程序和合规义务，包括不要求开具税务发票。不符合规定的外国公司将受到定期附加费</w:t>
      </w:r>
      <w:r>
        <w:rPr>
          <w:rFonts w:hint="eastAsia"/>
        </w:rPr>
        <w:t>处罚</w:t>
      </w:r>
      <w:r>
        <w:rPr>
          <w:rFonts w:hint="eastAsia"/>
        </w:rPr>
        <w:t>。</w:t>
      </w:r>
      <w:r>
        <w:t>此外</w:t>
      </w:r>
      <w:r>
        <w:rPr>
          <w:rFonts w:hint="eastAsia"/>
        </w:rPr>
        <w:t>，</w:t>
      </w:r>
      <w:r>
        <w:t>为了鼓励外国经营者</w:t>
      </w:r>
      <w:r>
        <w:lastRenderedPageBreak/>
        <w:t>遵守规定</w:t>
      </w:r>
      <w:r>
        <w:rPr>
          <w:rFonts w:hint="eastAsia"/>
        </w:rPr>
        <w:t>，泰国税收署将</w:t>
      </w:r>
      <w:r>
        <w:t>惩罚在与外国电子商务经营者进行交易时自行评估增值税</w:t>
      </w:r>
      <w:r>
        <w:rPr>
          <w:rFonts w:hint="eastAsia"/>
        </w:rPr>
        <w:t>不到位</w:t>
      </w:r>
      <w:r>
        <w:t>的泰国增值税注册人</w:t>
      </w:r>
      <w:r>
        <w:rPr>
          <w:rFonts w:hint="eastAsia"/>
        </w:rPr>
        <w:t>。</w:t>
      </w:r>
    </w:p>
    <w:p w14:paraId="77FBCEA2" w14:textId="77777777" w:rsidR="00DD1E0B" w:rsidRDefault="00C924F2">
      <w:pPr>
        <w:pStyle w:val="af3"/>
      </w:pPr>
      <w:r>
        <w:rPr>
          <w:rFonts w:hint="eastAsia"/>
        </w:rPr>
        <w:t>5</w:t>
      </w:r>
      <w:r>
        <w:t xml:space="preserve">.1.2 </w:t>
      </w:r>
      <w:r>
        <w:t>背景与评价</w:t>
      </w:r>
    </w:p>
    <w:p w14:paraId="123313C4" w14:textId="77777777" w:rsidR="00DD1E0B" w:rsidRDefault="00C924F2">
      <w:pPr>
        <w:pStyle w:val="ae"/>
      </w:pPr>
      <w:r>
        <w:rPr>
          <w:rFonts w:hint="eastAsia"/>
        </w:rPr>
        <w:t>5</w:t>
      </w:r>
      <w:r>
        <w:t xml:space="preserve">.1.2.1 </w:t>
      </w:r>
      <w:r>
        <w:t>背景</w:t>
      </w:r>
      <w:r>
        <w:rPr>
          <w:rStyle w:val="af9"/>
          <w:rFonts w:cs="Times New Roman"/>
          <w:b w:val="0"/>
          <w:bCs w:val="0"/>
          <w:kern w:val="2"/>
          <w:szCs w:val="24"/>
        </w:rPr>
        <w:footnoteReference w:id="27"/>
      </w:r>
    </w:p>
    <w:p w14:paraId="65C3484B" w14:textId="77777777" w:rsidR="00DD1E0B" w:rsidRDefault="00C924F2">
      <w:pPr>
        <w:ind w:firstLine="480"/>
        <w:rPr>
          <w:b/>
          <w:bCs/>
        </w:rPr>
      </w:pPr>
      <w:r>
        <w:t>泰国的电子商务市场预计到</w:t>
      </w:r>
      <w:r>
        <w:t>2020</w:t>
      </w:r>
      <w:r>
        <w:t>年能达到</w:t>
      </w:r>
      <w:r>
        <w:t>5.6</w:t>
      </w:r>
      <w:r>
        <w:t>兆铢，远高于今年的</w:t>
      </w:r>
      <w:r>
        <w:t>2.8</w:t>
      </w:r>
      <w:r>
        <w:t>兆铢的估值。电子交易发展机构负责人素朗卡纳表示，</w:t>
      </w:r>
      <w:r>
        <w:t>2016</w:t>
      </w:r>
      <w:r>
        <w:t>年泰国被联合国贸易与发展大会评为东南亚最大的</w:t>
      </w:r>
      <w:r>
        <w:t>B2C</w:t>
      </w:r>
      <w:r>
        <w:t>活动电子商务贸易国，对应市值达</w:t>
      </w:r>
      <w:r>
        <w:t>7000</w:t>
      </w:r>
      <w:r>
        <w:t>亿铢，超过了印度尼西亚的电子商务市场市值。</w:t>
      </w:r>
      <w:r>
        <w:rPr>
          <w:rFonts w:hint="eastAsia"/>
        </w:rPr>
        <w:t>泰国</w:t>
      </w:r>
      <w:r>
        <w:t>政府正在全力加快数字基础设施的建设，联合不同的国家机构和私营企业推动国家从现货</w:t>
      </w:r>
      <w:r>
        <w:t>交易目的地向全球电子商务市场的转变。</w:t>
      </w:r>
    </w:p>
    <w:p w14:paraId="0FB94DA0" w14:textId="77777777" w:rsidR="00DD1E0B" w:rsidRDefault="00C924F2">
      <w:pPr>
        <w:ind w:firstLine="480"/>
        <w:rPr>
          <w:b/>
          <w:bCs/>
        </w:rPr>
      </w:pPr>
      <w:r>
        <w:rPr>
          <w:rFonts w:hint="eastAsia"/>
        </w:rPr>
        <w:t>目前，</w:t>
      </w:r>
      <w:r>
        <w:t>泰国政府启动了国家电子支付计划</w:t>
      </w:r>
      <w:r>
        <w:rPr>
          <w:rFonts w:hint="eastAsia"/>
        </w:rPr>
        <w:t>和增强数字技术发展的行动</w:t>
      </w:r>
      <w:r>
        <w:t>，以提高泰国支付系统基础设施的效率</w:t>
      </w:r>
      <w:r>
        <w:rPr>
          <w:rFonts w:hint="eastAsia"/>
        </w:rPr>
        <w:t>。据估计，</w:t>
      </w:r>
      <w:r>
        <w:t>泰国的电子商务价值预计在未来五年内每年以不低于</w:t>
      </w:r>
      <w:r>
        <w:t>10</w:t>
      </w:r>
      <w:r>
        <w:t>％的速度增长。</w:t>
      </w:r>
      <w:r>
        <w:rPr>
          <w:rFonts w:hint="eastAsia"/>
        </w:rPr>
        <w:t>因此，</w:t>
      </w:r>
      <w:r>
        <w:t>当局现在正在</w:t>
      </w:r>
      <w:r>
        <w:rPr>
          <w:rFonts w:hint="eastAsia"/>
        </w:rPr>
        <w:t>加快</w:t>
      </w:r>
      <w:r>
        <w:t>制定电子商务税法草案</w:t>
      </w:r>
      <w:r>
        <w:rPr>
          <w:rFonts w:hint="eastAsia"/>
        </w:rPr>
        <w:t>的进程</w:t>
      </w:r>
      <w:r>
        <w:t>。</w:t>
      </w:r>
      <w:r>
        <w:t xml:space="preserve"> </w:t>
      </w:r>
    </w:p>
    <w:p w14:paraId="52E3A793" w14:textId="77777777" w:rsidR="00DD1E0B" w:rsidRDefault="00C924F2">
      <w:pPr>
        <w:pStyle w:val="ae"/>
      </w:pPr>
      <w:r>
        <w:rPr>
          <w:rFonts w:hint="eastAsia"/>
        </w:rPr>
        <w:t>5</w:t>
      </w:r>
      <w:r>
        <w:t xml:space="preserve">.1.2.2 </w:t>
      </w:r>
      <w:r>
        <w:t>评价</w:t>
      </w:r>
      <w:r>
        <w:rPr>
          <w:rStyle w:val="af9"/>
          <w:rFonts w:cs="Times New Roman"/>
          <w:b w:val="0"/>
          <w:bCs w:val="0"/>
          <w:kern w:val="2"/>
          <w:szCs w:val="24"/>
        </w:rPr>
        <w:footnoteReference w:id="28"/>
      </w:r>
    </w:p>
    <w:p w14:paraId="650B6E5D" w14:textId="77777777" w:rsidR="00DD1E0B" w:rsidRDefault="00C924F2">
      <w:pPr>
        <w:ind w:firstLine="480"/>
      </w:pPr>
      <w:r>
        <w:t>电子交易发展机构执行主任素朗卡纳称，数字服务行业（尤其是数字营销领域）的避税行为通常是在社交媒体平台上进行的。英国和印度尼西亚已经通过了相关法律来规范此种行为。</w:t>
      </w:r>
      <w:r>
        <w:rPr>
          <w:rFonts w:hint="eastAsia"/>
        </w:rPr>
        <w:t>泰国在发展本国电子商务和完善税制的道路上也不甘示弱，</w:t>
      </w:r>
      <w:r>
        <w:t>税务厅加快推进电</w:t>
      </w:r>
      <w:r>
        <w:t>子商务税法的修订，</w:t>
      </w:r>
      <w:r>
        <w:rPr>
          <w:rFonts w:hint="eastAsia"/>
        </w:rPr>
        <w:t>有望</w:t>
      </w:r>
      <w:r>
        <w:t>为国内外电子商务从业者创建</w:t>
      </w:r>
      <w:r>
        <w:rPr>
          <w:rFonts w:hint="eastAsia"/>
        </w:rPr>
        <w:t>更加</w:t>
      </w:r>
      <w:r>
        <w:t>公平的市场环境，同时避免数十亿铢税金的流失。</w:t>
      </w:r>
      <w:r>
        <w:t xml:space="preserve"> </w:t>
      </w:r>
    </w:p>
    <w:p w14:paraId="0295DF40" w14:textId="77777777" w:rsidR="00DD1E0B" w:rsidRDefault="00DD1E0B">
      <w:pPr>
        <w:ind w:firstLineChars="0" w:firstLine="0"/>
        <w:rPr>
          <w:rFonts w:cs="Times New Roman"/>
        </w:rPr>
      </w:pPr>
    </w:p>
    <w:p w14:paraId="4AA24F39" w14:textId="77777777" w:rsidR="00DD1E0B" w:rsidRDefault="00C924F2">
      <w:pPr>
        <w:pStyle w:val="1"/>
      </w:pPr>
      <w:bookmarkStart w:id="22" w:name="_Toc508835206"/>
      <w:r>
        <w:rPr>
          <w:rFonts w:hint="eastAsia"/>
        </w:rPr>
        <w:t>6</w:t>
      </w:r>
      <w:r>
        <w:t xml:space="preserve"> </w:t>
      </w:r>
      <w:r>
        <w:t>新加坡</w:t>
      </w:r>
      <w:bookmarkEnd w:id="22"/>
      <w:r>
        <w:t xml:space="preserve"> </w:t>
      </w:r>
    </w:p>
    <w:p w14:paraId="4FC627A8" w14:textId="77777777" w:rsidR="00DD1E0B" w:rsidRDefault="00DD1E0B">
      <w:pPr>
        <w:ind w:firstLine="480"/>
        <w:rPr>
          <w:rFonts w:cs="Times New Roman"/>
        </w:rPr>
      </w:pPr>
    </w:p>
    <w:p w14:paraId="7FEC42BA" w14:textId="77777777" w:rsidR="00DD1E0B" w:rsidRDefault="00C924F2">
      <w:pPr>
        <w:pStyle w:val="2"/>
      </w:pPr>
      <w:bookmarkStart w:id="23" w:name="_Toc508835207"/>
      <w:r>
        <w:rPr>
          <w:rFonts w:hint="eastAsia"/>
        </w:rPr>
        <w:t>6</w:t>
      </w:r>
      <w:r>
        <w:t xml:space="preserve">.1 </w:t>
      </w:r>
      <w:r>
        <w:t>新加坡税务局公布新版转让定价指南</w:t>
      </w:r>
      <w:bookmarkEnd w:id="23"/>
    </w:p>
    <w:p w14:paraId="25C8CC96" w14:textId="77777777" w:rsidR="00DD1E0B" w:rsidRDefault="00C924F2">
      <w:pPr>
        <w:pStyle w:val="3"/>
      </w:pPr>
      <w:r>
        <w:rPr>
          <w:rFonts w:hint="eastAsia"/>
        </w:rPr>
        <w:t>6</w:t>
      </w:r>
      <w:r>
        <w:t xml:space="preserve">.1.1 </w:t>
      </w:r>
      <w:r>
        <w:t>内容</w:t>
      </w:r>
      <w:r>
        <w:rPr>
          <w:rStyle w:val="af9"/>
          <w:rFonts w:cs="Times New Roman"/>
          <w:szCs w:val="24"/>
        </w:rPr>
        <w:footnoteReference w:id="29"/>
      </w:r>
    </w:p>
    <w:p w14:paraId="51A2CA73" w14:textId="77777777" w:rsidR="00DD1E0B" w:rsidRDefault="00C924F2">
      <w:pPr>
        <w:ind w:firstLine="480"/>
      </w:pPr>
      <w:r>
        <w:t>2018</w:t>
      </w:r>
      <w:r>
        <w:t>年</w:t>
      </w:r>
      <w:r>
        <w:t>2</w:t>
      </w:r>
      <w:r>
        <w:t>月</w:t>
      </w:r>
      <w:r>
        <w:t>23</w:t>
      </w:r>
      <w:r>
        <w:t>日，新加坡国内</w:t>
      </w:r>
      <w:r>
        <w:rPr>
          <w:rFonts w:hint="eastAsia"/>
        </w:rPr>
        <w:t>税务</w:t>
      </w:r>
      <w:r>
        <w:t>局（</w:t>
      </w:r>
      <w:r>
        <w:t>IRAS</w:t>
      </w:r>
      <w:r>
        <w:rPr>
          <w:rFonts w:hint="eastAsia"/>
        </w:rPr>
        <w:t>,</w:t>
      </w:r>
      <w:r>
        <w:t xml:space="preserve"> </w:t>
      </w:r>
      <w:r>
        <w:rPr>
          <w:rFonts w:hint="eastAsia"/>
        </w:rPr>
        <w:t xml:space="preserve">Inland Revenue Authority of </w:t>
      </w:r>
      <w:r>
        <w:rPr>
          <w:rFonts w:hint="eastAsia"/>
        </w:rPr>
        <w:lastRenderedPageBreak/>
        <w:t>Singapore</w:t>
      </w:r>
      <w:r>
        <w:t>）公布《所得税：转让定价指南（第</w:t>
      </w:r>
      <w:r>
        <w:t>5</w:t>
      </w:r>
      <w:r>
        <w:t>版）》。在</w:t>
      </w:r>
      <w:r>
        <w:t>2017</w:t>
      </w:r>
      <w:r>
        <w:t>年</w:t>
      </w:r>
      <w:r>
        <w:t>6</w:t>
      </w:r>
      <w:r>
        <w:t>月举行的公众咨询期间，利益相关方要求转让定价文件</w:t>
      </w:r>
      <w:r>
        <w:rPr>
          <w:rFonts w:hint="eastAsia"/>
        </w:rPr>
        <w:t>必须</w:t>
      </w:r>
      <w:r>
        <w:t>提供更多的明确性</w:t>
      </w:r>
      <w:r>
        <w:rPr>
          <w:rFonts w:hint="eastAsia"/>
        </w:rPr>
        <w:t>定义</w:t>
      </w:r>
      <w:r>
        <w:t>和指导，</w:t>
      </w:r>
      <w:r>
        <w:rPr>
          <w:rFonts w:hint="eastAsia"/>
        </w:rPr>
        <w:t>如</w:t>
      </w:r>
      <w:r>
        <w:t>关于免除</w:t>
      </w:r>
      <w:r>
        <w:rPr>
          <w:rFonts w:hint="eastAsia"/>
        </w:rPr>
        <w:t>双重征税</w:t>
      </w:r>
      <w:r>
        <w:t>的情况。新版指南进一步解释了</w:t>
      </w:r>
      <w:r>
        <w:t>IRAS</w:t>
      </w:r>
      <w:r>
        <w:t>如何应用独立交易原则（</w:t>
      </w:r>
      <w:r>
        <w:t>Arm's Length Principle</w:t>
      </w:r>
      <w:r>
        <w:t>），特别是关联方提供的服务和贷款，并重新拟定了有关转让定价文档申报义务的早期指南；增加了常设机构的指导意见，加强了可比性分析的指南等。</w:t>
      </w:r>
    </w:p>
    <w:p w14:paraId="6D3D72AB" w14:textId="77777777" w:rsidR="00DD1E0B" w:rsidRDefault="00C924F2">
      <w:pPr>
        <w:pStyle w:val="af3"/>
      </w:pPr>
      <w:r>
        <w:rPr>
          <w:rFonts w:hint="eastAsia"/>
        </w:rPr>
        <w:t>6</w:t>
      </w:r>
      <w:r>
        <w:t xml:space="preserve">.1.2 </w:t>
      </w:r>
      <w:r>
        <w:t>背景与评价</w:t>
      </w:r>
    </w:p>
    <w:p w14:paraId="6965029B" w14:textId="77777777" w:rsidR="00DD1E0B" w:rsidRDefault="00C924F2">
      <w:pPr>
        <w:pStyle w:val="ae"/>
      </w:pPr>
      <w:r>
        <w:rPr>
          <w:rFonts w:hint="eastAsia"/>
        </w:rPr>
        <w:t>6</w:t>
      </w:r>
      <w:r>
        <w:t xml:space="preserve">.1.2.1 </w:t>
      </w:r>
      <w:r>
        <w:t>背景</w:t>
      </w:r>
      <w:r>
        <w:rPr>
          <w:rStyle w:val="af9"/>
          <w:rFonts w:cs="Times New Roman"/>
          <w:b w:val="0"/>
          <w:bCs w:val="0"/>
          <w:kern w:val="2"/>
          <w:szCs w:val="24"/>
        </w:rPr>
        <w:footnoteReference w:id="30"/>
      </w:r>
    </w:p>
    <w:p w14:paraId="2361544E" w14:textId="77777777" w:rsidR="00DD1E0B" w:rsidRDefault="00C924F2">
      <w:pPr>
        <w:ind w:firstLine="480"/>
        <w:rPr>
          <w:b/>
          <w:bCs/>
        </w:rPr>
      </w:pPr>
      <w:r>
        <w:t>近年来，随着经济全球化的进一步发展，跨国公司在国际贸易中的作用急剧增强</w:t>
      </w:r>
      <w:r>
        <w:rPr>
          <w:rFonts w:hint="eastAsia"/>
        </w:rPr>
        <w:t>，在跨国经济活动中，</w:t>
      </w:r>
      <w:r>
        <w:t>利用</w:t>
      </w:r>
      <w:r>
        <w:rPr>
          <w:rFonts w:hint="eastAsia"/>
        </w:rPr>
        <w:t>关联企业之间的</w:t>
      </w:r>
      <w:r>
        <w:t>转让定价进行逃避税的手段越来越多样和隐蔽，转让定价更加成为国际社会关注的一个焦点。</w:t>
      </w:r>
      <w:r>
        <w:rPr>
          <w:rFonts w:hint="eastAsia"/>
        </w:rPr>
        <w:t>为了防止跨国公司利用转让定价进行国际</w:t>
      </w:r>
      <w:r>
        <w:rPr>
          <w:rFonts w:hint="eastAsia"/>
        </w:rPr>
        <w:t>避税，减少本国的税收流失，各国政府都十分重视对转让定价税制的建设，采取了相应的反避税措施。</w:t>
      </w:r>
    </w:p>
    <w:p w14:paraId="67EC0256" w14:textId="77777777" w:rsidR="00DD1E0B" w:rsidRDefault="00C924F2">
      <w:pPr>
        <w:ind w:firstLine="480"/>
        <w:rPr>
          <w:szCs w:val="24"/>
        </w:rPr>
      </w:pPr>
      <w:r>
        <w:t>2015</w:t>
      </w:r>
      <w:r>
        <w:t>年</w:t>
      </w:r>
      <w:r>
        <w:t>1</w:t>
      </w:r>
      <w:r>
        <w:t>月</w:t>
      </w:r>
      <w:r>
        <w:t>6</w:t>
      </w:r>
      <w:r>
        <w:t>日，新加坡国内收入局发布了</w:t>
      </w:r>
      <w:r>
        <w:rPr>
          <w:rFonts w:hint="eastAsia"/>
        </w:rPr>
        <w:t>第一次</w:t>
      </w:r>
      <w:r>
        <w:t>修订后的转让定价指南。修订的电子税收指南整合了以前出版的包含下述内容的电子税收指南：</w:t>
      </w:r>
      <w:r>
        <w:t>2006</w:t>
      </w:r>
      <w:r>
        <w:t>年出版的转让定价指南</w:t>
      </w:r>
      <w:r>
        <w:rPr>
          <w:rFonts w:hint="eastAsia"/>
        </w:rPr>
        <w:t>；</w:t>
      </w:r>
      <w:r>
        <w:t>2008</w:t>
      </w:r>
      <w:r>
        <w:t>年</w:t>
      </w:r>
      <w:r>
        <w:t>6</w:t>
      </w:r>
      <w:r>
        <w:t>月</w:t>
      </w:r>
      <w:r>
        <w:t>3</w:t>
      </w:r>
      <w:r>
        <w:t>日出版的转让定价咨询（指导）</w:t>
      </w:r>
      <w:r>
        <w:rPr>
          <w:rFonts w:hint="eastAsia"/>
        </w:rPr>
        <w:t>；</w:t>
      </w:r>
      <w:r>
        <w:t>–2008</w:t>
      </w:r>
      <w:r>
        <w:t>年</w:t>
      </w:r>
      <w:r>
        <w:t>10</w:t>
      </w:r>
      <w:r>
        <w:t>月</w:t>
      </w:r>
      <w:r>
        <w:t>20</w:t>
      </w:r>
      <w:r>
        <w:t>日出版的预约定价安排补充规定指南</w:t>
      </w:r>
      <w:r>
        <w:rPr>
          <w:rFonts w:hint="eastAsia"/>
        </w:rPr>
        <w:t>；</w:t>
      </w:r>
      <w:r>
        <w:t>2009</w:t>
      </w:r>
      <w:r>
        <w:t>年</w:t>
      </w:r>
      <w:r>
        <w:t>2</w:t>
      </w:r>
      <w:r>
        <w:t>月</w:t>
      </w:r>
      <w:r>
        <w:t>23</w:t>
      </w:r>
      <w:r>
        <w:t>日出版的关联方贷款和劳务的转让定价指南</w:t>
      </w:r>
      <w:r>
        <w:rPr>
          <w:rFonts w:hint="eastAsia"/>
        </w:rPr>
        <w:t>。</w:t>
      </w:r>
      <w:r>
        <w:t>2015</w:t>
      </w:r>
      <w:r>
        <w:t>年转让定价指南主要依据的是</w:t>
      </w:r>
      <w:r>
        <w:t>OECD</w:t>
      </w:r>
      <w:r>
        <w:t>转让定价指南（</w:t>
      </w:r>
      <w:r>
        <w:t>2010</w:t>
      </w:r>
      <w:r>
        <w:t>）及税基侵蚀和利润转移有关方面的精</w:t>
      </w:r>
      <w:r>
        <w:t>神。</w:t>
      </w:r>
      <w:r>
        <w:t>2017</w:t>
      </w:r>
      <w:r>
        <w:t>年</w:t>
      </w:r>
      <w:r>
        <w:t>1</w:t>
      </w:r>
      <w:r>
        <w:t>月</w:t>
      </w:r>
      <w:r>
        <w:t>12</w:t>
      </w:r>
      <w:r>
        <w:t>日</w:t>
      </w:r>
      <w:r>
        <w:rPr>
          <w:rFonts w:hint="eastAsia"/>
        </w:rPr>
        <w:t>，</w:t>
      </w:r>
      <w:r>
        <w:rPr>
          <w:rFonts w:hint="eastAsia"/>
        </w:rPr>
        <w:t>IRAS</w:t>
      </w:r>
      <w:r>
        <w:rPr>
          <w:rFonts w:hint="eastAsia"/>
        </w:rPr>
        <w:t>对第三版（</w:t>
      </w:r>
      <w:r>
        <w:t>2016</w:t>
      </w:r>
      <w:r>
        <w:t>年</w:t>
      </w:r>
      <w:r>
        <w:t>1</w:t>
      </w:r>
      <w:r>
        <w:t>月</w:t>
      </w:r>
      <w:r>
        <w:rPr>
          <w:rFonts w:hint="eastAsia"/>
        </w:rPr>
        <w:t>）进行了更新，</w:t>
      </w:r>
      <w:r>
        <w:t>发布了转移定价准则的第四版</w:t>
      </w:r>
      <w:r>
        <w:rPr>
          <w:rFonts w:hint="eastAsia"/>
        </w:rPr>
        <w:t>，</w:t>
      </w:r>
      <w:r>
        <w:t>从</w:t>
      </w:r>
      <w:r>
        <w:t>2015</w:t>
      </w:r>
      <w:r>
        <w:t>年到</w:t>
      </w:r>
      <w:r>
        <w:t>2017</w:t>
      </w:r>
      <w:r>
        <w:rPr>
          <w:rFonts w:hint="eastAsia"/>
        </w:rPr>
        <w:t>年，</w:t>
      </w:r>
      <w:r>
        <w:t>转移定价准则</w:t>
      </w:r>
      <w:r>
        <w:rPr>
          <w:rFonts w:hint="eastAsia"/>
        </w:rPr>
        <w:t>不断修正不难看出，新家坡对</w:t>
      </w:r>
      <w:r>
        <w:t>转让定价问题</w:t>
      </w:r>
      <w:r>
        <w:rPr>
          <w:rFonts w:hint="eastAsia"/>
        </w:rPr>
        <w:t>的重视性，对打击国际逃避税的决心</w:t>
      </w:r>
      <w:r>
        <w:t>。</w:t>
      </w:r>
    </w:p>
    <w:p w14:paraId="64227A73" w14:textId="77777777" w:rsidR="00DD1E0B" w:rsidRDefault="00C924F2">
      <w:pPr>
        <w:pStyle w:val="ae"/>
      </w:pPr>
      <w:r>
        <w:rPr>
          <w:rFonts w:hint="eastAsia"/>
        </w:rPr>
        <w:t>6</w:t>
      </w:r>
      <w:r>
        <w:t xml:space="preserve">.1.2.2 </w:t>
      </w:r>
      <w:r>
        <w:t>评价</w:t>
      </w:r>
    </w:p>
    <w:p w14:paraId="19C08C7C" w14:textId="77777777" w:rsidR="00DD1E0B" w:rsidRDefault="00C924F2">
      <w:pPr>
        <w:ind w:firstLine="480"/>
      </w:pPr>
      <w:r>
        <w:rPr>
          <w:rFonts w:hint="eastAsia"/>
        </w:rPr>
        <w:t xml:space="preserve">OECD </w:t>
      </w:r>
      <w:r>
        <w:rPr>
          <w:rFonts w:hint="eastAsia"/>
        </w:rPr>
        <w:t>于</w:t>
      </w:r>
      <w:r>
        <w:rPr>
          <w:rFonts w:hint="eastAsia"/>
        </w:rPr>
        <w:t>1995</w:t>
      </w:r>
      <w:r>
        <w:rPr>
          <w:rFonts w:hint="eastAsia"/>
        </w:rPr>
        <w:t>年制定公布了《对跨国公司和税务当局的转让定价指南》，这是</w:t>
      </w:r>
      <w:r>
        <w:t>国际税收领域的一个具有里程碑意义的事件</w:t>
      </w:r>
      <w:r>
        <w:rPr>
          <w:rFonts w:hint="eastAsia"/>
        </w:rPr>
        <w:t>，</w:t>
      </w:r>
      <w:r>
        <w:t>大大地推动了一些国家转让定价的立法。</w:t>
      </w:r>
      <w:r>
        <w:rPr>
          <w:rFonts w:hint="eastAsia"/>
        </w:rPr>
        <w:t>鉴于当前严格的转移定价税制，</w:t>
      </w:r>
      <w:r>
        <w:t>对于跨国企业而言，合理管理内部的转让定价对于控制税务风险及财务确定性至关重要。</w:t>
      </w:r>
    </w:p>
    <w:p w14:paraId="0ADA2A72" w14:textId="77777777" w:rsidR="00DD1E0B" w:rsidRDefault="00C924F2">
      <w:pPr>
        <w:ind w:firstLine="480"/>
      </w:pPr>
      <w:r>
        <w:t>改革开放以来，我国</w:t>
      </w:r>
      <w:r>
        <w:t>经济的国际化程度在逐步提高，特别是随着我国加入</w:t>
      </w:r>
      <w:r>
        <w:lastRenderedPageBreak/>
        <w:t>WTO</w:t>
      </w:r>
      <w:r>
        <w:t>和中央提出的</w:t>
      </w:r>
      <w:r>
        <w:rPr>
          <w:rFonts w:hint="eastAsia"/>
        </w:rPr>
        <w:t>“</w:t>
      </w:r>
      <w:r>
        <w:t>请进来，走出去</w:t>
      </w:r>
      <w:r>
        <w:rPr>
          <w:rFonts w:hint="eastAsia"/>
        </w:rPr>
        <w:t>”</w:t>
      </w:r>
      <w:r>
        <w:t>发展战略的实施，我国经济与世界经济的融合进一步加快，资金、技术、人员和服务在世界范围内加速流动，跨国企业也不断增加。为了实现税收负担公平目标和维护国家权益，</w:t>
      </w:r>
      <w:r>
        <w:rPr>
          <w:rFonts w:hint="eastAsia"/>
        </w:rPr>
        <w:t>我国的转让定价税制必须与国际惯例接轨，在完善法规的基础上，开始加强法规的执行，使转让定价税制向着全面，高效，操作性强的方向发展。</w:t>
      </w:r>
      <w:r>
        <w:rPr>
          <w:rStyle w:val="af9"/>
          <w:rFonts w:cs="Times New Roman" w:hint="eastAsia"/>
        </w:rPr>
        <w:footnoteReference w:id="31"/>
      </w:r>
    </w:p>
    <w:p w14:paraId="4DC6D572" w14:textId="77777777" w:rsidR="00DD1E0B" w:rsidRDefault="00C924F2">
      <w:pPr>
        <w:pStyle w:val="2"/>
      </w:pPr>
      <w:bookmarkStart w:id="24" w:name="_Toc508835208"/>
      <w:r>
        <w:rPr>
          <w:rFonts w:hint="eastAsia"/>
        </w:rPr>
        <w:t>6</w:t>
      </w:r>
      <w:r>
        <w:t>.</w:t>
      </w:r>
      <w:r>
        <w:rPr>
          <w:rFonts w:hint="eastAsia"/>
        </w:rPr>
        <w:t>2</w:t>
      </w:r>
      <w:r>
        <w:t xml:space="preserve"> </w:t>
      </w:r>
      <w:r>
        <w:t>新加坡</w:t>
      </w:r>
      <w:r>
        <w:rPr>
          <w:rFonts w:hint="eastAsia"/>
        </w:rPr>
        <w:t>2018</w:t>
      </w:r>
      <w:r>
        <w:rPr>
          <w:rFonts w:hint="eastAsia"/>
        </w:rPr>
        <w:t>年预算中的税收政策</w:t>
      </w:r>
      <w:bookmarkEnd w:id="24"/>
    </w:p>
    <w:p w14:paraId="5FF7623C" w14:textId="77777777" w:rsidR="00DD1E0B" w:rsidRDefault="00C924F2">
      <w:pPr>
        <w:pStyle w:val="3"/>
      </w:pPr>
      <w:r>
        <w:rPr>
          <w:rFonts w:hint="eastAsia"/>
        </w:rPr>
        <w:t>6</w:t>
      </w:r>
      <w:r>
        <w:t>.</w:t>
      </w:r>
      <w:r>
        <w:rPr>
          <w:rFonts w:hint="eastAsia"/>
        </w:rPr>
        <w:t>2</w:t>
      </w:r>
      <w:r>
        <w:t xml:space="preserve">.1 </w:t>
      </w:r>
      <w:r>
        <w:t>内容</w:t>
      </w:r>
      <w:r>
        <w:rPr>
          <w:rStyle w:val="af9"/>
          <w:rFonts w:cs="Times New Roman"/>
          <w:szCs w:val="24"/>
        </w:rPr>
        <w:footnoteReference w:id="32"/>
      </w:r>
    </w:p>
    <w:p w14:paraId="4CC4D2AB" w14:textId="77777777" w:rsidR="00DD1E0B" w:rsidRDefault="00C924F2">
      <w:pPr>
        <w:ind w:firstLine="480"/>
      </w:pPr>
      <w:r>
        <w:t>2018</w:t>
      </w:r>
      <w:r>
        <w:t>年</w:t>
      </w:r>
      <w:r>
        <w:t>2</w:t>
      </w:r>
      <w:r>
        <w:t>月</w:t>
      </w:r>
      <w:r>
        <w:t>19</w:t>
      </w:r>
      <w:r>
        <w:t>日，新加坡财政部向议会提交</w:t>
      </w:r>
      <w:r>
        <w:t>2018</w:t>
      </w:r>
      <w:r>
        <w:t>年预算，涉及</w:t>
      </w:r>
      <w:r>
        <w:rPr>
          <w:rFonts w:hint="eastAsia"/>
        </w:rPr>
        <w:t>消费税、印花税、</w:t>
      </w:r>
      <w:r>
        <w:rPr>
          <w:rFonts w:hint="eastAsia"/>
        </w:rPr>
        <w:t>女佣税、烟草税等</w:t>
      </w:r>
      <w:r>
        <w:t>多项税收政策</w:t>
      </w:r>
      <w:r>
        <w:rPr>
          <w:rFonts w:hint="eastAsia"/>
        </w:rPr>
        <w:t>，但新加坡的两大税收来源—企业税和个人所得税都不变，而消费税也是等到</w:t>
      </w:r>
      <w:r>
        <w:rPr>
          <w:rFonts w:hint="eastAsia"/>
        </w:rPr>
        <w:t>2021</w:t>
      </w:r>
      <w:r>
        <w:rPr>
          <w:rFonts w:hint="eastAsia"/>
        </w:rPr>
        <w:t>年才上调。</w:t>
      </w:r>
    </w:p>
    <w:p w14:paraId="35D2C589" w14:textId="77777777" w:rsidR="00DD1E0B" w:rsidRDefault="00C924F2">
      <w:pPr>
        <w:ind w:firstLine="480"/>
      </w:pPr>
      <w:r>
        <w:rPr>
          <w:rFonts w:hint="eastAsia"/>
        </w:rPr>
        <w:t>（</w:t>
      </w:r>
      <w:r>
        <w:rPr>
          <w:rFonts w:hint="eastAsia"/>
        </w:rPr>
        <w:t>1</w:t>
      </w:r>
      <w:r>
        <w:rPr>
          <w:rFonts w:hint="eastAsia"/>
        </w:rPr>
        <w:t>）计划提高公司所得税退税比例</w:t>
      </w:r>
    </w:p>
    <w:p w14:paraId="71F0E352" w14:textId="77777777" w:rsidR="00DD1E0B" w:rsidRDefault="00C924F2">
      <w:pPr>
        <w:ind w:firstLine="480"/>
      </w:pPr>
      <w:r>
        <w:rPr>
          <w:rFonts w:hint="eastAsia"/>
        </w:rPr>
        <w:t>新加坡计划在</w:t>
      </w:r>
      <w:r>
        <w:rPr>
          <w:rFonts w:hint="eastAsia"/>
        </w:rPr>
        <w:t>2018</w:t>
      </w:r>
      <w:r>
        <w:rPr>
          <w:rFonts w:hint="eastAsia"/>
        </w:rPr>
        <w:t>征收年度，将公司所得税的退税比例从</w:t>
      </w:r>
      <w:r>
        <w:rPr>
          <w:rFonts w:hint="eastAsia"/>
        </w:rPr>
        <w:t>20%</w:t>
      </w:r>
      <w:r>
        <w:rPr>
          <w:rFonts w:hint="eastAsia"/>
        </w:rPr>
        <w:t>提高至</w:t>
      </w:r>
      <w:r>
        <w:rPr>
          <w:rFonts w:hint="eastAsia"/>
        </w:rPr>
        <w:t>40%</w:t>
      </w:r>
      <w:r>
        <w:rPr>
          <w:rFonts w:hint="eastAsia"/>
        </w:rPr>
        <w:t>，退税最高限额从</w:t>
      </w:r>
      <w:r>
        <w:rPr>
          <w:rFonts w:hint="eastAsia"/>
        </w:rPr>
        <w:t>1</w:t>
      </w:r>
      <w:r>
        <w:rPr>
          <w:rFonts w:hint="eastAsia"/>
        </w:rPr>
        <w:t>万新元提高至</w:t>
      </w:r>
      <w:r>
        <w:rPr>
          <w:rFonts w:hint="eastAsia"/>
        </w:rPr>
        <w:t>1.5</w:t>
      </w:r>
      <w:r>
        <w:rPr>
          <w:rFonts w:hint="eastAsia"/>
        </w:rPr>
        <w:t>万新元；同时将原退税政策，即退税比例</w:t>
      </w:r>
      <w:r>
        <w:rPr>
          <w:rFonts w:hint="eastAsia"/>
        </w:rPr>
        <w:t>20%</w:t>
      </w:r>
      <w:r>
        <w:rPr>
          <w:rFonts w:hint="eastAsia"/>
        </w:rPr>
        <w:t>，退税最高退额</w:t>
      </w:r>
      <w:r>
        <w:rPr>
          <w:rFonts w:hint="eastAsia"/>
        </w:rPr>
        <w:t>1</w:t>
      </w:r>
      <w:r>
        <w:rPr>
          <w:rFonts w:hint="eastAsia"/>
        </w:rPr>
        <w:t>万新元的政策延长至</w:t>
      </w:r>
      <w:r>
        <w:rPr>
          <w:rFonts w:hint="eastAsia"/>
        </w:rPr>
        <w:t>2019</w:t>
      </w:r>
      <w:r>
        <w:rPr>
          <w:rFonts w:hint="eastAsia"/>
        </w:rPr>
        <w:t>征收年度。</w:t>
      </w:r>
    </w:p>
    <w:p w14:paraId="414DB6BA" w14:textId="77777777" w:rsidR="00DD1E0B" w:rsidRDefault="00C924F2">
      <w:pPr>
        <w:ind w:firstLine="480"/>
      </w:pPr>
      <w:r>
        <w:rPr>
          <w:rFonts w:hint="eastAsia"/>
        </w:rPr>
        <w:t>（</w:t>
      </w:r>
      <w:r>
        <w:rPr>
          <w:rFonts w:hint="eastAsia"/>
        </w:rPr>
        <w:t>2</w:t>
      </w:r>
      <w:r>
        <w:rPr>
          <w:rFonts w:hint="eastAsia"/>
        </w:rPr>
        <w:t>）消费税从</w:t>
      </w:r>
      <w:r>
        <w:rPr>
          <w:rFonts w:hint="eastAsia"/>
        </w:rPr>
        <w:t>7%</w:t>
      </w:r>
      <w:r>
        <w:rPr>
          <w:rFonts w:hint="eastAsia"/>
        </w:rPr>
        <w:t>增加到</w:t>
      </w:r>
      <w:r>
        <w:rPr>
          <w:rFonts w:hint="eastAsia"/>
        </w:rPr>
        <w:t>9%</w:t>
      </w:r>
    </w:p>
    <w:p w14:paraId="5D67D3D0" w14:textId="77777777" w:rsidR="00DD1E0B" w:rsidRDefault="00C924F2">
      <w:pPr>
        <w:ind w:firstLine="480"/>
      </w:pPr>
      <w:r>
        <w:rPr>
          <w:rFonts w:hint="eastAsia"/>
        </w:rPr>
        <w:t>政府计划在</w:t>
      </w:r>
      <w:r>
        <w:rPr>
          <w:rFonts w:hint="eastAsia"/>
        </w:rPr>
        <w:t>2021</w:t>
      </w:r>
      <w:r>
        <w:rPr>
          <w:rFonts w:hint="eastAsia"/>
        </w:rPr>
        <w:t>年至</w:t>
      </w:r>
      <w:r>
        <w:rPr>
          <w:rFonts w:hint="eastAsia"/>
        </w:rPr>
        <w:t>2025</w:t>
      </w:r>
      <w:r>
        <w:rPr>
          <w:rFonts w:hint="eastAsia"/>
        </w:rPr>
        <w:t>年间提高消费税税率，从</w:t>
      </w:r>
      <w:r>
        <w:rPr>
          <w:rFonts w:hint="eastAsia"/>
        </w:rPr>
        <w:t>7%</w:t>
      </w:r>
      <w:r>
        <w:rPr>
          <w:rFonts w:hint="eastAsia"/>
        </w:rPr>
        <w:t>增加到</w:t>
      </w:r>
      <w:r>
        <w:rPr>
          <w:rFonts w:hint="eastAsia"/>
        </w:rPr>
        <w:t>9%</w:t>
      </w:r>
      <w:r>
        <w:rPr>
          <w:rFonts w:hint="eastAsia"/>
        </w:rPr>
        <w:t>。调高消费税的确切日期取决于经济、开支增幅和现有税收。</w:t>
      </w:r>
    </w:p>
    <w:p w14:paraId="7335AF05" w14:textId="77777777" w:rsidR="00DD1E0B" w:rsidRDefault="00C924F2">
      <w:pPr>
        <w:ind w:firstLine="480"/>
      </w:pPr>
      <w:r>
        <w:rPr>
          <w:rFonts w:hint="eastAsia"/>
        </w:rPr>
        <w:t>（</w:t>
      </w:r>
      <w:r>
        <w:rPr>
          <w:rFonts w:hint="eastAsia"/>
        </w:rPr>
        <w:t>3</w:t>
      </w:r>
      <w:r>
        <w:rPr>
          <w:rFonts w:hint="eastAsia"/>
        </w:rPr>
        <w:t>）买方印花税提高至</w:t>
      </w:r>
      <w:r>
        <w:rPr>
          <w:rFonts w:hint="eastAsia"/>
        </w:rPr>
        <w:t>4%</w:t>
      </w:r>
    </w:p>
    <w:p w14:paraId="6D885890" w14:textId="77777777" w:rsidR="00DD1E0B" w:rsidRDefault="00C924F2">
      <w:pPr>
        <w:ind w:firstLine="480"/>
      </w:pPr>
      <w:r>
        <w:rPr>
          <w:rFonts w:hint="eastAsia"/>
        </w:rPr>
        <w:t>政府将于</w:t>
      </w:r>
      <w:r>
        <w:rPr>
          <w:rFonts w:hint="eastAsia"/>
        </w:rPr>
        <w:t>2</w:t>
      </w:r>
      <w:r>
        <w:rPr>
          <w:rFonts w:hint="eastAsia"/>
        </w:rPr>
        <w:t>月</w:t>
      </w:r>
      <w:r>
        <w:rPr>
          <w:rFonts w:hint="eastAsia"/>
        </w:rPr>
        <w:t>20</w:t>
      </w:r>
      <w:r>
        <w:rPr>
          <w:rFonts w:hint="eastAsia"/>
        </w:rPr>
        <w:t>日起调高购买房地产的买方印花税（</w:t>
      </w:r>
      <w:r>
        <w:rPr>
          <w:rFonts w:hint="eastAsia"/>
        </w:rPr>
        <w:t>Buyer</w:t>
      </w:r>
      <w:r>
        <w:rPr>
          <w:rFonts w:hint="eastAsia"/>
        </w:rPr>
        <w:t>‘</w:t>
      </w:r>
      <w:r>
        <w:rPr>
          <w:rFonts w:hint="eastAsia"/>
        </w:rPr>
        <w:t>s Stamp Duty</w:t>
      </w:r>
      <w:r>
        <w:rPr>
          <w:rFonts w:hint="eastAsia"/>
        </w:rPr>
        <w:t>）。成交价</w:t>
      </w:r>
      <w:r>
        <w:rPr>
          <w:rFonts w:hint="eastAsia"/>
        </w:rPr>
        <w:t>100</w:t>
      </w:r>
      <w:r>
        <w:rPr>
          <w:rFonts w:hint="eastAsia"/>
        </w:rPr>
        <w:t>万元以上的住宅，首</w:t>
      </w:r>
      <w:r>
        <w:rPr>
          <w:rFonts w:hint="eastAsia"/>
        </w:rPr>
        <w:t>100</w:t>
      </w:r>
      <w:r>
        <w:rPr>
          <w:rFonts w:hint="eastAsia"/>
        </w:rPr>
        <w:t>万元后的余额，征收的印花税将从现有的</w:t>
      </w:r>
      <w:r>
        <w:rPr>
          <w:rFonts w:hint="eastAsia"/>
        </w:rPr>
        <w:t>3</w:t>
      </w:r>
      <w:r>
        <w:rPr>
          <w:rFonts w:hint="eastAsia"/>
        </w:rPr>
        <w:t>％，调高至</w:t>
      </w:r>
      <w:r>
        <w:rPr>
          <w:rFonts w:hint="eastAsia"/>
        </w:rPr>
        <w:t>4</w:t>
      </w:r>
      <w:r>
        <w:rPr>
          <w:rFonts w:hint="eastAsia"/>
        </w:rPr>
        <w:t>％。</w:t>
      </w:r>
    </w:p>
    <w:p w14:paraId="22BA6EFF" w14:textId="77777777" w:rsidR="00DD1E0B" w:rsidRDefault="00C924F2">
      <w:pPr>
        <w:ind w:firstLine="480"/>
      </w:pPr>
      <w:r>
        <w:rPr>
          <w:rFonts w:hint="eastAsia"/>
        </w:rPr>
        <w:t>（</w:t>
      </w:r>
      <w:r>
        <w:rPr>
          <w:rFonts w:hint="eastAsia"/>
        </w:rPr>
        <w:t>4</w:t>
      </w:r>
      <w:r>
        <w:rPr>
          <w:rFonts w:hint="eastAsia"/>
        </w:rPr>
        <w:t>）烟草税将增加</w:t>
      </w:r>
      <w:r>
        <w:rPr>
          <w:rFonts w:hint="eastAsia"/>
        </w:rPr>
        <w:t>10%</w:t>
      </w:r>
    </w:p>
    <w:p w14:paraId="6540E8A7" w14:textId="77777777" w:rsidR="00DD1E0B" w:rsidRDefault="00C924F2">
      <w:pPr>
        <w:ind w:firstLine="480"/>
      </w:pPr>
      <w:r>
        <w:rPr>
          <w:rFonts w:hint="eastAsia"/>
        </w:rPr>
        <w:t>（</w:t>
      </w:r>
      <w:r>
        <w:rPr>
          <w:rFonts w:hint="eastAsia"/>
        </w:rPr>
        <w:t>5</w:t>
      </w:r>
      <w:r>
        <w:rPr>
          <w:rFonts w:hint="eastAsia"/>
        </w:rPr>
        <w:t>）对进口服务实行消费税</w:t>
      </w:r>
    </w:p>
    <w:p w14:paraId="062A3B78" w14:textId="77777777" w:rsidR="00DD1E0B" w:rsidRDefault="00C924F2">
      <w:pPr>
        <w:ind w:firstLine="480"/>
      </w:pPr>
      <w:r>
        <w:rPr>
          <w:rFonts w:hint="eastAsia"/>
        </w:rPr>
        <w:t>府将从</w:t>
      </w:r>
      <w:r>
        <w:rPr>
          <w:rFonts w:hint="eastAsia"/>
        </w:rPr>
        <w:t>2020</w:t>
      </w:r>
      <w:r>
        <w:rPr>
          <w:rFonts w:hint="eastAsia"/>
        </w:rPr>
        <w:t>年起对进口服务征收消费税，进口货品不受影响。</w:t>
      </w:r>
    </w:p>
    <w:p w14:paraId="1D38142E" w14:textId="77777777" w:rsidR="00DD1E0B" w:rsidRDefault="00C924F2">
      <w:pPr>
        <w:ind w:firstLine="480"/>
      </w:pPr>
      <w:r>
        <w:rPr>
          <w:rFonts w:hint="eastAsia"/>
        </w:rPr>
        <w:t>（</w:t>
      </w:r>
      <w:r>
        <w:rPr>
          <w:rFonts w:hint="eastAsia"/>
        </w:rPr>
        <w:t>6</w:t>
      </w:r>
      <w:r>
        <w:rPr>
          <w:rFonts w:hint="eastAsia"/>
        </w:rPr>
        <w:t>）征收碳税</w:t>
      </w:r>
    </w:p>
    <w:p w14:paraId="0B6AFB49" w14:textId="77777777" w:rsidR="00DD1E0B" w:rsidRDefault="00C924F2">
      <w:pPr>
        <w:ind w:firstLine="480"/>
      </w:pPr>
      <w:r>
        <w:rPr>
          <w:rFonts w:hint="eastAsia"/>
        </w:rPr>
        <w:t>所有碳排放机构从明年起至</w:t>
      </w:r>
      <w:r>
        <w:rPr>
          <w:rFonts w:hint="eastAsia"/>
        </w:rPr>
        <w:t>2023</w:t>
      </w:r>
      <w:r>
        <w:rPr>
          <w:rFonts w:hint="eastAsia"/>
        </w:rPr>
        <w:t>年，每排放一公吨的温室气体须缴交</w:t>
      </w:r>
      <w:r>
        <w:rPr>
          <w:rFonts w:hint="eastAsia"/>
        </w:rPr>
        <w:t>5</w:t>
      </w:r>
      <w:r>
        <w:rPr>
          <w:rFonts w:hint="eastAsia"/>
        </w:rPr>
        <w:t>元</w:t>
      </w:r>
      <w:r>
        <w:rPr>
          <w:rFonts w:hint="eastAsia"/>
        </w:rPr>
        <w:lastRenderedPageBreak/>
        <w:t>碳税，待政府在这个过渡期结束前检讨政策后，最终希望在</w:t>
      </w:r>
      <w:r>
        <w:rPr>
          <w:rFonts w:hint="eastAsia"/>
        </w:rPr>
        <w:t>2030</w:t>
      </w:r>
      <w:r>
        <w:rPr>
          <w:rFonts w:hint="eastAsia"/>
        </w:rPr>
        <w:t>年前将每公吨碳税上调到</w:t>
      </w:r>
      <w:r>
        <w:rPr>
          <w:rFonts w:hint="eastAsia"/>
        </w:rPr>
        <w:t>10</w:t>
      </w:r>
      <w:r>
        <w:rPr>
          <w:rFonts w:hint="eastAsia"/>
        </w:rPr>
        <w:t>元到</w:t>
      </w:r>
      <w:r>
        <w:rPr>
          <w:rFonts w:hint="eastAsia"/>
        </w:rPr>
        <w:t>15</w:t>
      </w:r>
      <w:r>
        <w:rPr>
          <w:rFonts w:hint="eastAsia"/>
        </w:rPr>
        <w:t>元。</w:t>
      </w:r>
    </w:p>
    <w:p w14:paraId="2236D971" w14:textId="77777777" w:rsidR="00DD1E0B" w:rsidRDefault="00C924F2">
      <w:pPr>
        <w:ind w:firstLine="480"/>
      </w:pPr>
      <w:r>
        <w:rPr>
          <w:rFonts w:hint="eastAsia"/>
        </w:rPr>
        <w:t>（</w:t>
      </w:r>
      <w:r>
        <w:rPr>
          <w:rFonts w:hint="eastAsia"/>
        </w:rPr>
        <w:t>7</w:t>
      </w:r>
      <w:r>
        <w:rPr>
          <w:rFonts w:hint="eastAsia"/>
        </w:rPr>
        <w:t>）</w:t>
      </w:r>
      <w:r>
        <w:rPr>
          <w:rFonts w:hint="eastAsia"/>
        </w:rPr>
        <w:t>女佣税调高</w:t>
      </w:r>
    </w:p>
    <w:p w14:paraId="2D408730" w14:textId="77777777" w:rsidR="00DD1E0B" w:rsidRDefault="00C924F2">
      <w:pPr>
        <w:ind w:firstLine="480"/>
      </w:pPr>
      <w:r>
        <w:rPr>
          <w:rFonts w:hint="eastAsia"/>
        </w:rPr>
        <w:t>从明年</w:t>
      </w:r>
      <w:r>
        <w:rPr>
          <w:rFonts w:hint="eastAsia"/>
        </w:rPr>
        <w:t>4</w:t>
      </w:r>
      <w:r>
        <w:rPr>
          <w:rFonts w:hint="eastAsia"/>
        </w:rPr>
        <w:t>月起，新加坡将调高外籍女佣税，从现在的每月</w:t>
      </w:r>
      <w:r>
        <w:rPr>
          <w:rFonts w:hint="eastAsia"/>
        </w:rPr>
        <w:t>265</w:t>
      </w:r>
      <w:r>
        <w:rPr>
          <w:rFonts w:hint="eastAsia"/>
        </w:rPr>
        <w:t>元，调整为雇第一名女佣</w:t>
      </w:r>
      <w:r>
        <w:rPr>
          <w:rFonts w:hint="eastAsia"/>
        </w:rPr>
        <w:t>300</w:t>
      </w:r>
      <w:r>
        <w:rPr>
          <w:rFonts w:hint="eastAsia"/>
        </w:rPr>
        <w:t>元，第二名女佣</w:t>
      </w:r>
      <w:r>
        <w:rPr>
          <w:rFonts w:hint="eastAsia"/>
        </w:rPr>
        <w:t>450</w:t>
      </w:r>
      <w:r>
        <w:rPr>
          <w:rFonts w:hint="eastAsia"/>
        </w:rPr>
        <w:t>元。但有幼童、年长者或身体有障碍的家庭将继续享受优惠政策，每月只需交</w:t>
      </w:r>
      <w:r>
        <w:rPr>
          <w:rFonts w:hint="eastAsia"/>
        </w:rPr>
        <w:t>60</w:t>
      </w:r>
      <w:r>
        <w:rPr>
          <w:rFonts w:hint="eastAsia"/>
        </w:rPr>
        <w:t>元。</w:t>
      </w:r>
    </w:p>
    <w:p w14:paraId="1F8F0CB0" w14:textId="77777777" w:rsidR="00DD1E0B" w:rsidRDefault="00C924F2">
      <w:pPr>
        <w:pStyle w:val="af3"/>
      </w:pPr>
      <w:r>
        <w:rPr>
          <w:rFonts w:hint="eastAsia"/>
        </w:rPr>
        <w:t>6</w:t>
      </w:r>
      <w:r>
        <w:t>.</w:t>
      </w:r>
      <w:r>
        <w:rPr>
          <w:rFonts w:hint="eastAsia"/>
        </w:rPr>
        <w:t>2</w:t>
      </w:r>
      <w:r>
        <w:t xml:space="preserve">.2 </w:t>
      </w:r>
      <w:r>
        <w:t>背景与评价</w:t>
      </w:r>
    </w:p>
    <w:p w14:paraId="4DE68405" w14:textId="77777777" w:rsidR="00DD1E0B" w:rsidRDefault="00C924F2">
      <w:pPr>
        <w:pStyle w:val="ae"/>
      </w:pPr>
      <w:r>
        <w:rPr>
          <w:rFonts w:hint="eastAsia"/>
        </w:rPr>
        <w:t>6</w:t>
      </w:r>
      <w:r>
        <w:t>.</w:t>
      </w:r>
      <w:r>
        <w:rPr>
          <w:rFonts w:hint="eastAsia"/>
        </w:rPr>
        <w:t>2</w:t>
      </w:r>
      <w:r>
        <w:t xml:space="preserve">.2.1 </w:t>
      </w:r>
      <w:r>
        <w:t>背景</w:t>
      </w:r>
      <w:r>
        <w:rPr>
          <w:rStyle w:val="af9"/>
          <w:rFonts w:cs="Times New Roman"/>
          <w:b w:val="0"/>
          <w:bCs w:val="0"/>
          <w:kern w:val="2"/>
          <w:szCs w:val="24"/>
        </w:rPr>
        <w:footnoteReference w:id="33"/>
      </w:r>
    </w:p>
    <w:p w14:paraId="47BD0908" w14:textId="77777777" w:rsidR="00DD1E0B" w:rsidRDefault="00C924F2">
      <w:pPr>
        <w:ind w:firstLine="480"/>
      </w:pPr>
      <w:r>
        <w:rPr>
          <w:rFonts w:hint="eastAsia"/>
        </w:rPr>
        <w:t>2017</w:t>
      </w:r>
      <w:r>
        <w:rPr>
          <w:rFonts w:hint="eastAsia"/>
        </w:rPr>
        <w:t>年</w:t>
      </w:r>
      <w:r>
        <w:t>，美国出台财税改革，降低企业税率后，世界各地纷纷掀起了减税浪潮。不但法国和英国马上开始着手减税，中国也表态，</w:t>
      </w:r>
      <w:r>
        <w:rPr>
          <w:rFonts w:hint="eastAsia"/>
        </w:rPr>
        <w:t>2018</w:t>
      </w:r>
      <w:r>
        <w:rPr>
          <w:rFonts w:hint="eastAsia"/>
        </w:rPr>
        <w:t>年</w:t>
      </w:r>
      <w:r>
        <w:t>要推进更大力度的减税降费。在这样的大环境下，一向以低税率吸引外资的新加坡，却准备</w:t>
      </w:r>
      <w:r>
        <w:rPr>
          <w:rFonts w:hint="eastAsia"/>
        </w:rPr>
        <w:t>“</w:t>
      </w:r>
      <w:r>
        <w:t>逆潮流</w:t>
      </w:r>
      <w:r>
        <w:rPr>
          <w:rFonts w:hint="eastAsia"/>
        </w:rPr>
        <w:t>”</w:t>
      </w:r>
      <w:r>
        <w:t>加税，消息一出便引起关注，</w:t>
      </w:r>
      <w:r>
        <w:rPr>
          <w:rFonts w:hint="eastAsia"/>
        </w:rPr>
        <w:t>激发</w:t>
      </w:r>
      <w:r>
        <w:t>本地商界和民众</w:t>
      </w:r>
      <w:r>
        <w:rPr>
          <w:rFonts w:hint="eastAsia"/>
        </w:rPr>
        <w:t>的反弹情绪。其中，消费税调高符合市场预期。参考其他国家的消费税率，越南、韩国和印尼的消费税为</w:t>
      </w:r>
      <w:r>
        <w:rPr>
          <w:rFonts w:hint="eastAsia"/>
        </w:rPr>
        <w:t>10%</w:t>
      </w:r>
      <w:r>
        <w:rPr>
          <w:rFonts w:hint="eastAsia"/>
        </w:rPr>
        <w:t>，日本则征收</w:t>
      </w:r>
      <w:r>
        <w:rPr>
          <w:rFonts w:hint="eastAsia"/>
        </w:rPr>
        <w:t>8%</w:t>
      </w:r>
      <w:r>
        <w:rPr>
          <w:rFonts w:hint="eastAsia"/>
        </w:rPr>
        <w:t>的消费税。澳大利亚目前的消费税是</w:t>
      </w:r>
      <w:r>
        <w:rPr>
          <w:rFonts w:hint="eastAsia"/>
        </w:rPr>
        <w:t>10</w:t>
      </w:r>
      <w:r>
        <w:rPr>
          <w:rFonts w:hint="eastAsia"/>
        </w:rPr>
        <w:t>％，计划调高到</w:t>
      </w:r>
      <w:r>
        <w:rPr>
          <w:rFonts w:hint="eastAsia"/>
        </w:rPr>
        <w:t>15</w:t>
      </w:r>
      <w:r>
        <w:rPr>
          <w:rFonts w:hint="eastAsia"/>
        </w:rPr>
        <w:t>％；新西兰则已经是</w:t>
      </w:r>
      <w:r>
        <w:rPr>
          <w:rFonts w:hint="eastAsia"/>
        </w:rPr>
        <w:t>15</w:t>
      </w:r>
      <w:r>
        <w:rPr>
          <w:rFonts w:hint="eastAsia"/>
        </w:rPr>
        <w:t>％。目前新加坡是</w:t>
      </w:r>
      <w:r>
        <w:rPr>
          <w:rFonts w:hint="eastAsia"/>
        </w:rPr>
        <w:t>7%</w:t>
      </w:r>
      <w:r>
        <w:rPr>
          <w:rFonts w:hint="eastAsia"/>
        </w:rPr>
        <w:t>，比本区域其他国家低。</w:t>
      </w:r>
    </w:p>
    <w:p w14:paraId="3A10606F" w14:textId="77777777" w:rsidR="00DD1E0B" w:rsidRDefault="00C924F2">
      <w:pPr>
        <w:pStyle w:val="ae"/>
      </w:pPr>
      <w:r>
        <w:rPr>
          <w:rFonts w:hint="eastAsia"/>
        </w:rPr>
        <w:t>6</w:t>
      </w:r>
      <w:r>
        <w:t>.</w:t>
      </w:r>
      <w:r>
        <w:rPr>
          <w:rFonts w:hint="eastAsia"/>
        </w:rPr>
        <w:t>2</w:t>
      </w:r>
      <w:r>
        <w:t xml:space="preserve">.2.2 </w:t>
      </w:r>
      <w:r>
        <w:t>评价</w:t>
      </w:r>
      <w:r>
        <w:rPr>
          <w:rStyle w:val="af9"/>
          <w:rFonts w:cs="Times New Roman"/>
          <w:b w:val="0"/>
          <w:bCs w:val="0"/>
          <w:kern w:val="2"/>
          <w:szCs w:val="24"/>
        </w:rPr>
        <w:footnoteReference w:id="34"/>
      </w:r>
    </w:p>
    <w:p w14:paraId="1F68D169" w14:textId="77777777" w:rsidR="00DD1E0B" w:rsidRDefault="00C924F2">
      <w:pPr>
        <w:ind w:firstLine="480"/>
      </w:pPr>
      <w:r>
        <w:t>新加坡在接下来十年</w:t>
      </w:r>
      <w:r>
        <w:rPr>
          <w:rFonts w:hint="eastAsia"/>
        </w:rPr>
        <w:t>将</w:t>
      </w:r>
      <w:r>
        <w:t>应对三个重大的改变，第一是全球经济重心转向亚洲</w:t>
      </w:r>
      <w:r>
        <w:rPr>
          <w:rFonts w:hint="eastAsia"/>
        </w:rPr>
        <w:t>，</w:t>
      </w:r>
      <w:r>
        <w:t>第二是新科技的出现</w:t>
      </w:r>
      <w:r>
        <w:rPr>
          <w:rFonts w:hint="eastAsia"/>
        </w:rPr>
        <w:t>，</w:t>
      </w:r>
      <w:r>
        <w:t>第三是人口老龄化。这将提供新的机会和挑战。</w:t>
      </w:r>
      <w:r>
        <w:rPr>
          <w:rFonts w:hint="eastAsia"/>
        </w:rPr>
        <w:t>2018</w:t>
      </w:r>
      <w:r>
        <w:rPr>
          <w:rFonts w:hint="eastAsia"/>
        </w:rPr>
        <w:t>财年新加坡政府将在在医疗保健、基础设施建设和教育、国防支出等领域投入更多财政支出，</w:t>
      </w:r>
      <w:r>
        <w:t>预计整体预算赤字达</w:t>
      </w:r>
      <w:r>
        <w:t>6</w:t>
      </w:r>
      <w:r>
        <w:t>亿新元</w:t>
      </w:r>
      <w:r>
        <w:rPr>
          <w:rFonts w:hint="eastAsia"/>
        </w:rPr>
        <w:t>。新加坡</w:t>
      </w:r>
      <w:r>
        <w:rPr>
          <w:rFonts w:hint="eastAsia"/>
        </w:rPr>
        <w:t>南洋国际商学院院长、隆道研究院总裁许振义博士认为，此次财政预算案主要体现了两个思维，一是财政规划的超前性，一是强调“己已达而达人“的包容性。新加坡将发展</w:t>
      </w:r>
      <w:r>
        <w:t>欣欣向荣的创新经济，建造宜居绿色智慧城市，打造温馨团结的社会，并且为持续的财政与安稳的未来进行计划。</w:t>
      </w:r>
    </w:p>
    <w:p w14:paraId="13367413" w14:textId="77777777" w:rsidR="00DD1E0B" w:rsidRDefault="00C924F2">
      <w:pPr>
        <w:pStyle w:val="1"/>
      </w:pPr>
      <w:bookmarkStart w:id="25" w:name="_Toc508835209"/>
      <w:r>
        <w:rPr>
          <w:rFonts w:hint="eastAsia"/>
        </w:rPr>
        <w:t>7</w:t>
      </w:r>
      <w:r>
        <w:t xml:space="preserve"> </w:t>
      </w:r>
      <w:r>
        <w:t>印度</w:t>
      </w:r>
      <w:bookmarkEnd w:id="25"/>
      <w:r>
        <w:t xml:space="preserve"> </w:t>
      </w:r>
    </w:p>
    <w:p w14:paraId="2B0FC8F5" w14:textId="77777777" w:rsidR="00DD1E0B" w:rsidRDefault="00DD1E0B">
      <w:pPr>
        <w:ind w:firstLine="480"/>
        <w:rPr>
          <w:rFonts w:cs="Times New Roman"/>
        </w:rPr>
      </w:pPr>
    </w:p>
    <w:p w14:paraId="179D207E" w14:textId="77777777" w:rsidR="00DD1E0B" w:rsidRDefault="00C924F2">
      <w:pPr>
        <w:pStyle w:val="2"/>
      </w:pPr>
      <w:bookmarkStart w:id="26" w:name="_Toc508835210"/>
      <w:r>
        <w:rPr>
          <w:rFonts w:hint="eastAsia"/>
        </w:rPr>
        <w:lastRenderedPageBreak/>
        <w:t>7</w:t>
      </w:r>
      <w:r>
        <w:t xml:space="preserve">.1 </w:t>
      </w:r>
      <w:r>
        <w:t>印度计划扩大公司所得税</w:t>
      </w:r>
      <w:r>
        <w:t>25%</w:t>
      </w:r>
      <w:r>
        <w:t>优惠税率的适用范围</w:t>
      </w:r>
      <w:bookmarkEnd w:id="26"/>
    </w:p>
    <w:p w14:paraId="01F4522D" w14:textId="77777777" w:rsidR="00DD1E0B" w:rsidRDefault="00C924F2">
      <w:pPr>
        <w:pStyle w:val="3"/>
      </w:pPr>
      <w:r>
        <w:rPr>
          <w:rFonts w:hint="eastAsia"/>
        </w:rPr>
        <w:t>7</w:t>
      </w:r>
      <w:r>
        <w:t xml:space="preserve">.1.1 </w:t>
      </w:r>
      <w:r>
        <w:t>内容</w:t>
      </w:r>
      <w:r>
        <w:rPr>
          <w:rStyle w:val="af9"/>
          <w:rFonts w:cs="Times New Roman"/>
          <w:szCs w:val="24"/>
        </w:rPr>
        <w:footnoteReference w:id="35"/>
      </w:r>
    </w:p>
    <w:p w14:paraId="6ACE45EB" w14:textId="77777777" w:rsidR="00DD1E0B" w:rsidRDefault="00C924F2">
      <w:pPr>
        <w:ind w:firstLine="480"/>
      </w:pPr>
      <w:r>
        <w:t>2018</w:t>
      </w:r>
      <w:r>
        <w:t>年</w:t>
      </w:r>
      <w:r>
        <w:t>2</w:t>
      </w:r>
      <w:r>
        <w:t>月</w:t>
      </w:r>
      <w:r>
        <w:t>1</w:t>
      </w:r>
      <w:r>
        <w:t>日，印度财政部（</w:t>
      </w:r>
      <w:r>
        <w:t>MOF</w:t>
      </w:r>
      <w:r>
        <w:rPr>
          <w:rFonts w:hint="eastAsia"/>
        </w:rPr>
        <w:t>，</w:t>
      </w:r>
      <w:r>
        <w:rPr>
          <w:rFonts w:hint="eastAsia"/>
        </w:rPr>
        <w:t>Ministry of Finance</w:t>
      </w:r>
      <w:r>
        <w:t>）向议会提</w:t>
      </w:r>
      <w:r>
        <w:rPr>
          <w:rFonts w:hint="eastAsia"/>
        </w:rPr>
        <w:t>交</w:t>
      </w:r>
      <w:r>
        <w:t>2018/2019</w:t>
      </w:r>
      <w:r>
        <w:t>年度预算案，涉及多项税收政策，其中计划将适用</w:t>
      </w:r>
      <w:r>
        <w:t>25%</w:t>
      </w:r>
      <w:r>
        <w:t>优惠税率的范围从年营业额不超过</w:t>
      </w:r>
      <w:r>
        <w:t>5</w:t>
      </w:r>
      <w:r>
        <w:t>亿卢比的企业扩大至不超过</w:t>
      </w:r>
      <w:r>
        <w:t>25</w:t>
      </w:r>
      <w:r>
        <w:t>亿卢比的企业。按新标准，将使</w:t>
      </w:r>
      <w:r>
        <w:t>99%</w:t>
      </w:r>
      <w:r>
        <w:t>的企业适用</w:t>
      </w:r>
      <w:r>
        <w:t>25%</w:t>
      </w:r>
      <w:r>
        <w:t>税率。</w:t>
      </w:r>
    </w:p>
    <w:p w14:paraId="4417BCC1" w14:textId="77777777" w:rsidR="00DD1E0B" w:rsidRDefault="00C924F2">
      <w:pPr>
        <w:ind w:firstLine="480"/>
      </w:pPr>
      <w:r>
        <w:rPr>
          <w:rFonts w:hint="eastAsia"/>
        </w:rPr>
        <w:t>此外，在预算案中，为了减少经济扭曲并消除税基的侵蚀，计划对</w:t>
      </w:r>
      <w:r>
        <w:rPr>
          <w:rFonts w:hint="eastAsia"/>
        </w:rPr>
        <w:t>2018</w:t>
      </w:r>
      <w:r>
        <w:rPr>
          <w:rFonts w:hint="eastAsia"/>
        </w:rPr>
        <w:t>年</w:t>
      </w:r>
      <w:r>
        <w:rPr>
          <w:rFonts w:hint="eastAsia"/>
        </w:rPr>
        <w:t>1</w:t>
      </w:r>
      <w:r>
        <w:rPr>
          <w:rFonts w:hint="eastAsia"/>
        </w:rPr>
        <w:t>月</w:t>
      </w:r>
      <w:r>
        <w:rPr>
          <w:rFonts w:hint="eastAsia"/>
        </w:rPr>
        <w:t>31</w:t>
      </w:r>
      <w:r>
        <w:rPr>
          <w:rFonts w:hint="eastAsia"/>
        </w:rPr>
        <w:t>日前在股票市场上实现的收益征收</w:t>
      </w:r>
      <w:r>
        <w:rPr>
          <w:rFonts w:hint="eastAsia"/>
        </w:rPr>
        <w:t>10%</w:t>
      </w:r>
      <w:r>
        <w:rPr>
          <w:rFonts w:hint="eastAsia"/>
        </w:rPr>
        <w:t>的长期资本收益税；同时，政府将继续努力使印度的国内税法与经合组织的基础侵蚀和利润转移行动计划相一致，包括在印度的所得税条约网络中实施多边投资协定。</w:t>
      </w:r>
    </w:p>
    <w:p w14:paraId="5DB0FF72" w14:textId="77777777" w:rsidR="00DD1E0B" w:rsidRDefault="00C924F2">
      <w:pPr>
        <w:pStyle w:val="af3"/>
      </w:pPr>
      <w:r>
        <w:rPr>
          <w:rFonts w:hint="eastAsia"/>
        </w:rPr>
        <w:t>7</w:t>
      </w:r>
      <w:r>
        <w:t xml:space="preserve">.1.2 </w:t>
      </w:r>
      <w:r>
        <w:t>背景与评价</w:t>
      </w:r>
    </w:p>
    <w:p w14:paraId="6A448F41" w14:textId="77777777" w:rsidR="00DD1E0B" w:rsidRDefault="00C924F2">
      <w:pPr>
        <w:pStyle w:val="ae"/>
      </w:pPr>
      <w:r>
        <w:rPr>
          <w:rFonts w:hint="eastAsia"/>
        </w:rPr>
        <w:t>7</w:t>
      </w:r>
      <w:r>
        <w:t xml:space="preserve">.1.2.1 </w:t>
      </w:r>
      <w:r>
        <w:t>背景</w:t>
      </w:r>
    </w:p>
    <w:p w14:paraId="63389E75" w14:textId="77777777" w:rsidR="00DD1E0B" w:rsidRDefault="00C924F2">
      <w:pPr>
        <w:ind w:firstLine="480"/>
      </w:pPr>
      <w:r>
        <w:t>印度财政年度从</w:t>
      </w:r>
      <w:r>
        <w:t>4</w:t>
      </w:r>
      <w:r>
        <w:t>月</w:t>
      </w:r>
      <w:r>
        <w:t>1</w:t>
      </w:r>
      <w:r>
        <w:t>日开始。印度公司所得税普通税率为</w:t>
      </w:r>
      <w:r>
        <w:t>30%</w:t>
      </w:r>
      <w:r>
        <w:t>，自</w:t>
      </w:r>
      <w:r>
        <w:t>2016/2017</w:t>
      </w:r>
      <w:r>
        <w:t>年度起，规定对年营业额不超过</w:t>
      </w:r>
      <w:r>
        <w:t>5</w:t>
      </w:r>
      <w:r>
        <w:t>亿卢比的企业适用</w:t>
      </w:r>
      <w:r>
        <w:t>25%</w:t>
      </w:r>
      <w:r>
        <w:t>税率征税，适用</w:t>
      </w:r>
      <w:r>
        <w:t>25%</w:t>
      </w:r>
      <w:r>
        <w:t>税率的企业已占</w:t>
      </w:r>
      <w:r>
        <w:t>96%</w:t>
      </w:r>
      <w:r>
        <w:t>。</w:t>
      </w:r>
    </w:p>
    <w:p w14:paraId="0E23D349" w14:textId="77777777" w:rsidR="00DD1E0B" w:rsidRDefault="00C924F2">
      <w:pPr>
        <w:pStyle w:val="ae"/>
      </w:pPr>
      <w:r>
        <w:rPr>
          <w:rFonts w:hint="eastAsia"/>
        </w:rPr>
        <w:t>7</w:t>
      </w:r>
      <w:r>
        <w:t xml:space="preserve">.1.2.2 </w:t>
      </w:r>
      <w:r>
        <w:t>评价</w:t>
      </w:r>
      <w:r>
        <w:rPr>
          <w:rStyle w:val="af9"/>
          <w:rFonts w:cs="Times New Roman"/>
          <w:szCs w:val="24"/>
        </w:rPr>
        <w:footnoteReference w:id="36"/>
      </w:r>
    </w:p>
    <w:p w14:paraId="70A63600" w14:textId="77777777" w:rsidR="00DD1E0B" w:rsidRDefault="00C924F2">
      <w:pPr>
        <w:ind w:firstLine="480"/>
      </w:pPr>
      <w:r>
        <w:rPr>
          <w:rFonts w:hint="eastAsia"/>
        </w:rPr>
        <w:t>印度政府一贯以诚实、务实和廉政为目标，力图为印度人民带来稳定的政治环境和良好的生活条件。事实证明，在印度政府总理</w:t>
      </w:r>
      <w:r>
        <w:t>Shri Narendra Modi</w:t>
      </w:r>
      <w:r>
        <w:rPr>
          <w:rFonts w:hint="eastAsia"/>
        </w:rPr>
        <w:t>的</w:t>
      </w:r>
      <w:r>
        <w:t>领导</w:t>
      </w:r>
      <w:r>
        <w:rPr>
          <w:rFonts w:hint="eastAsia"/>
        </w:rPr>
        <w:t>下，印度已经成功实施了一系列基本结构性改革，使印度跻身世界上发展最快的经济体行列。</w:t>
      </w:r>
      <w:r>
        <w:t>通过进一步企业税收减免</w:t>
      </w:r>
      <w:r>
        <w:rPr>
          <w:rFonts w:hint="eastAsia"/>
        </w:rPr>
        <w:t>，有助于印度</w:t>
      </w:r>
      <w:r>
        <w:t>简化政府办事程序</w:t>
      </w:r>
      <w:r>
        <w:rPr>
          <w:rFonts w:hint="eastAsia"/>
        </w:rPr>
        <w:t>，</w:t>
      </w:r>
      <w:r>
        <w:t>提高全球竞争优势。</w:t>
      </w:r>
    </w:p>
    <w:p w14:paraId="3372A2ED" w14:textId="77777777" w:rsidR="00DD1E0B" w:rsidRDefault="00C924F2">
      <w:pPr>
        <w:pStyle w:val="1"/>
      </w:pPr>
      <w:bookmarkStart w:id="27" w:name="_Toc508835211"/>
      <w:r>
        <w:rPr>
          <w:rFonts w:hint="eastAsia"/>
        </w:rPr>
        <w:t>8</w:t>
      </w:r>
      <w:r>
        <w:t xml:space="preserve"> </w:t>
      </w:r>
      <w:r>
        <w:t>中国</w:t>
      </w:r>
      <w:bookmarkEnd w:id="27"/>
      <w:r>
        <w:t xml:space="preserve"> </w:t>
      </w:r>
    </w:p>
    <w:p w14:paraId="4FE11A90" w14:textId="77777777" w:rsidR="00DD1E0B" w:rsidRDefault="00DD1E0B">
      <w:pPr>
        <w:ind w:firstLine="480"/>
        <w:rPr>
          <w:rFonts w:cs="Times New Roman"/>
        </w:rPr>
      </w:pPr>
    </w:p>
    <w:p w14:paraId="09C4F68F" w14:textId="77777777" w:rsidR="00DD1E0B" w:rsidRDefault="00C924F2">
      <w:pPr>
        <w:pStyle w:val="2"/>
      </w:pPr>
      <w:bookmarkStart w:id="28" w:name="_Toc508835212"/>
      <w:r>
        <w:rPr>
          <w:rFonts w:hint="eastAsia"/>
        </w:rPr>
        <w:t>8</w:t>
      </w:r>
      <w:r>
        <w:t xml:space="preserve">.1 </w:t>
      </w:r>
      <w:r>
        <w:rPr>
          <w:rFonts w:hint="eastAsia"/>
        </w:rPr>
        <w:t>中</w:t>
      </w:r>
      <w:r>
        <w:rPr>
          <w:rFonts w:hint="eastAsia"/>
        </w:rPr>
        <w:t>国香港发布</w:t>
      </w:r>
      <w:r>
        <w:rPr>
          <w:rFonts w:hint="eastAsia"/>
        </w:rPr>
        <w:t>2018</w:t>
      </w:r>
      <w:r>
        <w:rPr>
          <w:rFonts w:hint="eastAsia"/>
        </w:rPr>
        <w:t>财政预算案</w:t>
      </w:r>
      <w:bookmarkEnd w:id="28"/>
    </w:p>
    <w:p w14:paraId="6433832B" w14:textId="77777777" w:rsidR="00DD1E0B" w:rsidRDefault="00C924F2">
      <w:pPr>
        <w:pStyle w:val="3"/>
      </w:pPr>
      <w:r>
        <w:rPr>
          <w:rFonts w:hint="eastAsia"/>
        </w:rPr>
        <w:t>8</w:t>
      </w:r>
      <w:r>
        <w:t xml:space="preserve">.1.1 </w:t>
      </w:r>
      <w:r>
        <w:t>内容</w:t>
      </w:r>
      <w:r>
        <w:rPr>
          <w:rStyle w:val="af9"/>
          <w:rFonts w:cs="Times New Roman"/>
          <w:szCs w:val="24"/>
        </w:rPr>
        <w:footnoteReference w:id="37"/>
      </w:r>
    </w:p>
    <w:p w14:paraId="446AC0FD" w14:textId="77777777" w:rsidR="00DD1E0B" w:rsidRDefault="00C924F2">
      <w:pPr>
        <w:ind w:firstLine="480"/>
        <w:rPr>
          <w:b/>
          <w:bCs/>
        </w:rPr>
      </w:pPr>
      <w:r>
        <w:rPr>
          <w:rFonts w:hint="eastAsia"/>
        </w:rPr>
        <w:t>2018</w:t>
      </w:r>
      <w:r>
        <w:rPr>
          <w:rFonts w:hint="eastAsia"/>
        </w:rPr>
        <w:t>年</w:t>
      </w:r>
      <w:r>
        <w:t>2</w:t>
      </w:r>
      <w:r>
        <w:t>月</w:t>
      </w:r>
      <w:r>
        <w:t>28</w:t>
      </w:r>
      <w:r>
        <w:t>日，香港财政司司长陈茂波</w:t>
      </w:r>
      <w:r>
        <w:rPr>
          <w:rFonts w:hint="eastAsia"/>
        </w:rPr>
        <w:t>在立法会</w:t>
      </w:r>
      <w:r>
        <w:t>公布了</w:t>
      </w:r>
      <w:r>
        <w:t>2018</w:t>
      </w:r>
      <w:r>
        <w:t>至</w:t>
      </w:r>
      <w:r>
        <w:t>2019</w:t>
      </w:r>
      <w:r>
        <w:t>年度《财政预算案》。他预计，</w:t>
      </w:r>
      <w:r>
        <w:t>2018</w:t>
      </w:r>
      <w:r>
        <w:t>至</w:t>
      </w:r>
      <w:r>
        <w:t>2019</w:t>
      </w:r>
      <w:r>
        <w:t>年度的财政总收入为</w:t>
      </w:r>
      <w:r>
        <w:t>6045</w:t>
      </w:r>
      <w:r>
        <w:t>亿港元，入</w:t>
      </w:r>
      <w:r>
        <w:lastRenderedPageBreak/>
        <w:t>息及利得税预计为</w:t>
      </w:r>
      <w:r>
        <w:t>2184</w:t>
      </w:r>
      <w:r>
        <w:t>亿港元，地价收入预算为</w:t>
      </w:r>
      <w:r>
        <w:t>1210</w:t>
      </w:r>
      <w:r>
        <w:t>亿港元，印花税收入预计为</w:t>
      </w:r>
      <w:r>
        <w:t>1000</w:t>
      </w:r>
      <w:r>
        <w:t>亿港元。</w:t>
      </w:r>
      <w:r>
        <w:t>2018</w:t>
      </w:r>
      <w:r>
        <w:t>至</w:t>
      </w:r>
      <w:r>
        <w:t>2019</w:t>
      </w:r>
      <w:r>
        <w:t>年度政府总开支预计达到</w:t>
      </w:r>
      <w:r>
        <w:t>5579</w:t>
      </w:r>
      <w:r>
        <w:t>亿港元</w:t>
      </w:r>
      <w:r>
        <w:rPr>
          <w:rFonts w:hint="eastAsia"/>
        </w:rPr>
        <w:t>。</w:t>
      </w:r>
      <w:r>
        <w:t>本次的预算案涵盖了一系列税务及短期纾缓措施提振经济，</w:t>
      </w:r>
      <w:r>
        <w:rPr>
          <w:rFonts w:hint="eastAsia"/>
        </w:rPr>
        <w:t>相关税收政策如下。</w:t>
      </w:r>
    </w:p>
    <w:p w14:paraId="4E7A8ADE" w14:textId="77777777" w:rsidR="00DD1E0B" w:rsidRDefault="00C924F2">
      <w:pPr>
        <w:ind w:firstLine="480"/>
      </w:pPr>
      <w:r>
        <w:rPr>
          <w:rFonts w:hint="eastAsia"/>
        </w:rPr>
        <w:t>（</w:t>
      </w:r>
      <w:r>
        <w:rPr>
          <w:rFonts w:hint="eastAsia"/>
        </w:rPr>
        <w:t>1</w:t>
      </w:r>
      <w:r>
        <w:rPr>
          <w:rFonts w:hint="eastAsia"/>
        </w:rPr>
        <w:t>）</w:t>
      </w:r>
      <w:r>
        <w:t>引入地区总部税制</w:t>
      </w:r>
    </w:p>
    <w:p w14:paraId="4E2E4223" w14:textId="77777777" w:rsidR="00DD1E0B" w:rsidRDefault="00C924F2">
      <w:pPr>
        <w:ind w:firstLine="480"/>
      </w:pPr>
      <w:r>
        <w:t>拟议的税收举措之一是在香港引入地区总部税制（</w:t>
      </w:r>
      <w:r>
        <w:t>RHQ</w:t>
      </w:r>
      <w:r>
        <w:rPr>
          <w:rFonts w:hint="eastAsia"/>
        </w:rPr>
        <w:t>，</w:t>
      </w:r>
      <w:r>
        <w:t>regi</w:t>
      </w:r>
      <w:r>
        <w:t>onal headquarters tax regime</w:t>
      </w:r>
      <w:r>
        <w:t>）。地区总部可以带来更多的外国投资，</w:t>
      </w:r>
      <w:r>
        <w:rPr>
          <w:rFonts w:hint="eastAsia"/>
        </w:rPr>
        <w:t>有利于刺激消费</w:t>
      </w:r>
      <w:r>
        <w:t>以及</w:t>
      </w:r>
      <w:r>
        <w:rPr>
          <w:rFonts w:hint="eastAsia"/>
        </w:rPr>
        <w:t>增加</w:t>
      </w:r>
      <w:r>
        <w:t>就业。它还将补充最近在香港引入的企业财资中心（</w:t>
      </w:r>
      <w:r>
        <w:t>CTC</w:t>
      </w:r>
      <w:r>
        <w:rPr>
          <w:rFonts w:hint="eastAsia"/>
        </w:rPr>
        <w:t>,</w:t>
      </w:r>
      <w:r>
        <w:t xml:space="preserve"> </w:t>
      </w:r>
      <w:r>
        <w:rPr>
          <w:rFonts w:hint="eastAsia"/>
        </w:rPr>
        <w:t>corporate treasury centre</w:t>
      </w:r>
      <w:r>
        <w:t>）税收优惠政策</w:t>
      </w:r>
      <w:r>
        <w:rPr>
          <w:rFonts w:hint="eastAsia"/>
        </w:rPr>
        <w:t>，</w:t>
      </w:r>
      <w:r>
        <w:t>地区总部税务优惠的实施将确保香港保持其作为领先商业和金融中心的竞争地位。</w:t>
      </w:r>
    </w:p>
    <w:p w14:paraId="5FAC0A3C" w14:textId="77777777" w:rsidR="00DD1E0B" w:rsidRDefault="00C924F2">
      <w:pPr>
        <w:ind w:firstLine="480"/>
      </w:pPr>
      <w:r>
        <w:rPr>
          <w:rFonts w:hint="eastAsia"/>
        </w:rPr>
        <w:t>（</w:t>
      </w:r>
      <w:r>
        <w:rPr>
          <w:rFonts w:hint="eastAsia"/>
        </w:rPr>
        <w:t>2</w:t>
      </w:r>
      <w:r>
        <w:rPr>
          <w:rFonts w:hint="eastAsia"/>
        </w:rPr>
        <w:t>）落实两级税制</w:t>
      </w:r>
    </w:p>
    <w:p w14:paraId="6611919C" w14:textId="1525B14A" w:rsidR="00DD1E0B" w:rsidRDefault="00C924F2">
      <w:pPr>
        <w:ind w:firstLine="480"/>
      </w:pPr>
      <w:r>
        <w:t>香港政府曾在</w:t>
      </w:r>
      <w:r>
        <w:t>2017</w:t>
      </w:r>
      <w:r>
        <w:t>年的《条例草案》宣布</w:t>
      </w:r>
      <w:r>
        <w:rPr>
          <w:rFonts w:ascii="Batang" w:eastAsia="Batang" w:hAnsi="Batang" w:cs="Batang" w:hint="eastAsia"/>
        </w:rPr>
        <w:t>利</w:t>
      </w:r>
      <w:r>
        <w:rPr>
          <w:rFonts w:ascii="宋体" w:hAnsi="宋体" w:cs="宋体" w:hint="eastAsia"/>
        </w:rPr>
        <w:t>得税两级制，即：法团</w:t>
      </w:r>
      <w:r>
        <w:rPr>
          <w:rStyle w:val="af9"/>
          <w:rFonts w:ascii="宋体" w:hAnsi="宋体" w:cs="宋体" w:hint="eastAsia"/>
        </w:rPr>
        <w:footnoteReference w:id="38"/>
      </w:r>
      <w:r>
        <w:t>200</w:t>
      </w:r>
      <w:r>
        <w:t>万元</w:t>
      </w:r>
      <w:r>
        <w:rPr>
          <w:rFonts w:hint="eastAsia"/>
        </w:rPr>
        <w:t>利润</w:t>
      </w:r>
      <w:r>
        <w:rPr>
          <w:rStyle w:val="af8"/>
          <w:rFonts w:hint="eastAsia"/>
        </w:rPr>
        <w:t>以内</w:t>
      </w:r>
      <w:r>
        <w:t>的利得税税率将降至</w:t>
      </w:r>
      <w:r>
        <w:t>8.25%</w:t>
      </w:r>
      <w:r>
        <w:t>，其后的利润则继续按</w:t>
      </w:r>
      <w:r>
        <w:t>16.5%</w:t>
      </w:r>
      <w:r>
        <w:t>征税。在本次财政预算案的策略中也再重申提及，香港政府表示正积极筹备，承诺</w:t>
      </w:r>
      <w:r>
        <w:t>2018</w:t>
      </w:r>
      <w:r>
        <w:t>年落实利得税两级制。</w:t>
      </w:r>
    </w:p>
    <w:p w14:paraId="004934AC" w14:textId="77777777" w:rsidR="00DD1E0B" w:rsidRDefault="00C924F2">
      <w:pPr>
        <w:ind w:firstLine="480"/>
      </w:pPr>
      <w:r>
        <w:rPr>
          <w:rFonts w:hint="eastAsia"/>
        </w:rPr>
        <w:t>（</w:t>
      </w:r>
      <w:r>
        <w:rPr>
          <w:rFonts w:hint="eastAsia"/>
        </w:rPr>
        <w:t>3</w:t>
      </w:r>
      <w:r>
        <w:rPr>
          <w:rFonts w:hint="eastAsia"/>
        </w:rPr>
        <w:t>）</w:t>
      </w:r>
      <w:r>
        <w:t>扩大债务利得税免税范围（吸引公司债券发行）</w:t>
      </w:r>
    </w:p>
    <w:p w14:paraId="137667DB" w14:textId="77777777" w:rsidR="00DD1E0B" w:rsidRDefault="00C924F2">
      <w:pPr>
        <w:ind w:firstLine="480"/>
      </w:pPr>
      <w:r>
        <w:t>在利得税方面，预算案建议修改合格债务工具计划，以扩大合格工具的种类。除了香港金融管理局中央流通股提供和清算的工具外，香港联交所上市的债券也将符合资格。</w:t>
      </w:r>
    </w:p>
    <w:p w14:paraId="407AE6F8" w14:textId="77777777" w:rsidR="00DD1E0B" w:rsidRDefault="00C924F2">
      <w:pPr>
        <w:ind w:firstLine="480"/>
      </w:pPr>
      <w:r>
        <w:rPr>
          <w:rFonts w:hint="eastAsia"/>
        </w:rPr>
        <w:t>（</w:t>
      </w:r>
      <w:r>
        <w:rPr>
          <w:rFonts w:hint="eastAsia"/>
        </w:rPr>
        <w:t>4</w:t>
      </w:r>
      <w:r>
        <w:rPr>
          <w:rFonts w:hint="eastAsia"/>
        </w:rPr>
        <w:t>）</w:t>
      </w:r>
      <w:r>
        <w:t>扩大贸易，投资和税收协定网络（开拓新市场）</w:t>
      </w:r>
    </w:p>
    <w:p w14:paraId="45FB98F5" w14:textId="77777777" w:rsidR="00DD1E0B" w:rsidRDefault="00C924F2">
      <w:pPr>
        <w:ind w:firstLine="480"/>
      </w:pPr>
      <w:r>
        <w:rPr>
          <w:rFonts w:hint="eastAsia"/>
        </w:rPr>
        <w:t>（</w:t>
      </w:r>
      <w:r>
        <w:rPr>
          <w:rFonts w:hint="eastAsia"/>
        </w:rPr>
        <w:t>5</w:t>
      </w:r>
      <w:r>
        <w:rPr>
          <w:rFonts w:hint="eastAsia"/>
        </w:rPr>
        <w:t>）</w:t>
      </w:r>
      <w:r>
        <w:t>将个别纳税人的</w:t>
      </w:r>
      <w:r>
        <w:rPr>
          <w:rFonts w:hint="eastAsia"/>
        </w:rPr>
        <w:t>所得</w:t>
      </w:r>
      <w:r>
        <w:t>税削减</w:t>
      </w:r>
      <w:r>
        <w:t>75</w:t>
      </w:r>
      <w:r>
        <w:t>％，并扩阔薪俸税率范围</w:t>
      </w:r>
    </w:p>
    <w:p w14:paraId="6027CB64" w14:textId="77777777" w:rsidR="00DD1E0B" w:rsidRDefault="00C924F2">
      <w:pPr>
        <w:ind w:firstLine="480"/>
        <w:rPr>
          <w:rFonts w:cs="Times New Roman"/>
        </w:rPr>
      </w:pPr>
      <w:r>
        <w:rPr>
          <w:rFonts w:cs="Times New Roman" w:hint="eastAsia"/>
        </w:rPr>
        <w:t>香港政府提及在</w:t>
      </w:r>
      <w:r>
        <w:rPr>
          <w:rFonts w:cs="Times New Roman" w:hint="eastAsia"/>
        </w:rPr>
        <w:t>2017-2018</w:t>
      </w:r>
      <w:r>
        <w:rPr>
          <w:rFonts w:cs="Times New Roman" w:hint="eastAsia"/>
        </w:rPr>
        <w:t>年度估计录得盈余</w:t>
      </w:r>
      <w:r>
        <w:rPr>
          <w:rFonts w:cs="Times New Roman" w:hint="eastAsia"/>
        </w:rPr>
        <w:t>1380</w:t>
      </w:r>
      <w:r>
        <w:rPr>
          <w:rFonts w:cs="Times New Roman" w:hint="eastAsia"/>
        </w:rPr>
        <w:t>亿元，将为纳税人实际宽减</w:t>
      </w:r>
      <w:r>
        <w:rPr>
          <w:rFonts w:cs="Times New Roman" w:hint="eastAsia"/>
        </w:rPr>
        <w:t>2017-2018</w:t>
      </w:r>
      <w:r>
        <w:rPr>
          <w:rFonts w:cs="Times New Roman" w:hint="eastAsia"/>
        </w:rPr>
        <w:t>年度</w:t>
      </w:r>
      <w:r>
        <w:rPr>
          <w:rFonts w:cs="Times New Roman" w:hint="eastAsia"/>
        </w:rPr>
        <w:t>75%</w:t>
      </w:r>
      <w:r>
        <w:rPr>
          <w:rFonts w:cs="Times New Roman" w:hint="eastAsia"/>
        </w:rPr>
        <w:t>的所得税，上限为三万元，有关扣减会在</w:t>
      </w:r>
      <w:r>
        <w:rPr>
          <w:rFonts w:cs="Times New Roman" w:hint="eastAsia"/>
        </w:rPr>
        <w:t>2017-2018</w:t>
      </w:r>
      <w:r>
        <w:rPr>
          <w:rFonts w:cs="Times New Roman" w:hint="eastAsia"/>
        </w:rPr>
        <w:t>年度的最终应缴税款反映，预估将有近</w:t>
      </w:r>
      <w:r>
        <w:rPr>
          <w:rFonts w:cs="Times New Roman" w:hint="eastAsia"/>
        </w:rPr>
        <w:t>202</w:t>
      </w:r>
      <w:r>
        <w:rPr>
          <w:rFonts w:cs="Times New Roman" w:hint="eastAsia"/>
        </w:rPr>
        <w:t>万纳税人受惠。</w:t>
      </w:r>
    </w:p>
    <w:p w14:paraId="71B293BE" w14:textId="77777777" w:rsidR="00DD1E0B" w:rsidRDefault="00C924F2">
      <w:pPr>
        <w:pStyle w:val="3"/>
      </w:pPr>
      <w:r>
        <w:rPr>
          <w:rFonts w:hint="eastAsia"/>
        </w:rPr>
        <w:t>8</w:t>
      </w:r>
      <w:r>
        <w:t xml:space="preserve">.1.2 </w:t>
      </w:r>
      <w:r>
        <w:t>背景与评价</w:t>
      </w:r>
      <w:r>
        <w:rPr>
          <w:rStyle w:val="af9"/>
          <w:rFonts w:cs="Times New Roman"/>
          <w:szCs w:val="24"/>
        </w:rPr>
        <w:footnoteReference w:id="39"/>
      </w:r>
    </w:p>
    <w:p w14:paraId="66078EC9" w14:textId="77777777" w:rsidR="00DD1E0B" w:rsidRDefault="00C924F2">
      <w:pPr>
        <w:pStyle w:val="ae"/>
      </w:pPr>
      <w:r>
        <w:rPr>
          <w:rFonts w:hint="eastAsia"/>
        </w:rPr>
        <w:t>8</w:t>
      </w:r>
      <w:r>
        <w:t xml:space="preserve">.1.2.1 </w:t>
      </w:r>
      <w:r>
        <w:t>背景</w:t>
      </w:r>
    </w:p>
    <w:p w14:paraId="4AFDA988" w14:textId="77777777" w:rsidR="00DD1E0B" w:rsidRDefault="00C924F2">
      <w:pPr>
        <w:ind w:firstLine="480"/>
      </w:pPr>
      <w:r>
        <w:t>由于外围环境较预期好，香港经济去年实现十年最高增长率，达</w:t>
      </w:r>
      <w:r>
        <w:t>3.8%</w:t>
      </w:r>
      <w:r>
        <w:t>，保持自</w:t>
      </w:r>
      <w:r>
        <w:t>2004/05</w:t>
      </w:r>
      <w:r>
        <w:t>财政年度以来连续</w:t>
      </w:r>
      <w:r>
        <w:t>14</w:t>
      </w:r>
      <w:r>
        <w:t>年的财政盈余，预测香港经济未来四年增长</w:t>
      </w:r>
      <w:r>
        <w:lastRenderedPageBreak/>
        <w:t>率会继续维持在</w:t>
      </w:r>
      <w:r>
        <w:t>3%</w:t>
      </w:r>
      <w:r>
        <w:rPr>
          <w:rFonts w:hint="eastAsia"/>
        </w:rPr>
        <w:t>。在</w:t>
      </w:r>
      <w:r>
        <w:t>环球经济三大趋势</w:t>
      </w:r>
      <w:r>
        <w:rPr>
          <w:rFonts w:hint="eastAsia"/>
        </w:rPr>
        <w:t>——</w:t>
      </w:r>
      <w:r>
        <w:t>创科浪潮席卷全球、全球经济重心向亚洲发展中地区迁移以及多变贸</w:t>
      </w:r>
      <w:r>
        <w:t>易机制</w:t>
      </w:r>
      <w:r>
        <w:rPr>
          <w:rFonts w:hint="eastAsia"/>
        </w:rPr>
        <w:t>的影响下</w:t>
      </w:r>
      <w:r>
        <w:t>，香港政府</w:t>
      </w:r>
      <w:r>
        <w:rPr>
          <w:rFonts w:hint="eastAsia"/>
        </w:rPr>
        <w:t>努力探索</w:t>
      </w:r>
      <w:r>
        <w:t>自身优势为未来发展定位和寻找新动力，带动经济发展。</w:t>
      </w:r>
    </w:p>
    <w:p w14:paraId="005DB18F" w14:textId="77777777" w:rsidR="00DD1E0B" w:rsidRDefault="00C924F2">
      <w:pPr>
        <w:pStyle w:val="ae"/>
      </w:pPr>
      <w:r>
        <w:rPr>
          <w:rFonts w:hint="eastAsia"/>
        </w:rPr>
        <w:t>8</w:t>
      </w:r>
      <w:r>
        <w:t xml:space="preserve">.1.2.2 </w:t>
      </w:r>
      <w:r>
        <w:t>评价</w:t>
      </w:r>
    </w:p>
    <w:p w14:paraId="257164B0" w14:textId="620F1A5B" w:rsidR="00DD1E0B" w:rsidRDefault="00C924F2">
      <w:pPr>
        <w:ind w:firstLine="480"/>
      </w:pPr>
      <w:r>
        <w:rPr>
          <w:rFonts w:hint="eastAsia"/>
        </w:rPr>
        <w:t>2018</w:t>
      </w:r>
      <w:r>
        <w:rPr>
          <w:rFonts w:hint="eastAsia"/>
        </w:rPr>
        <w:t>年</w:t>
      </w:r>
      <w:r>
        <w:t>预算案的各项措施有三大目标。首先是多元经济</w:t>
      </w:r>
      <w:r>
        <w:rPr>
          <w:rFonts w:hint="eastAsia"/>
        </w:rPr>
        <w:t>，</w:t>
      </w:r>
      <w:r>
        <w:t>香港要推动经济多元发展，为香港创富，也为年轻人提供更广阔、优质的发展机会</w:t>
      </w:r>
      <w:r>
        <w:rPr>
          <w:rFonts w:hint="eastAsia"/>
        </w:rPr>
        <w:t>；</w:t>
      </w:r>
      <w:r>
        <w:t>其次是投资未来</w:t>
      </w:r>
      <w:r>
        <w:rPr>
          <w:rFonts w:hint="eastAsia"/>
        </w:rPr>
        <w:t>，</w:t>
      </w:r>
      <w:r>
        <w:t>人口老龄化带来的种种挑战，也需投放资源，未雨绸缪。同时要改善生活环境，令香港成为一个宜居宜业的智慧城市。第三是关爱共享</w:t>
      </w:r>
      <w:r>
        <w:rPr>
          <w:rFonts w:hint="eastAsia"/>
        </w:rPr>
        <w:t>，</w:t>
      </w:r>
      <w:r>
        <w:t>中产家庭的生活担子有待舒缓，而基层和弱势群体更需要扶持。</w:t>
      </w:r>
      <w:r>
        <w:rPr>
          <w:rStyle w:val="af9"/>
          <w:rFonts w:cs="Times New Roman"/>
        </w:rPr>
        <w:footnoteReference w:id="40"/>
      </w:r>
      <w:r>
        <w:t>作为本届新政府的第一次财政预算案，各界反应正面。无论是</w:t>
      </w:r>
      <w:r>
        <w:rPr>
          <w:rFonts w:hint="eastAsia"/>
        </w:rPr>
        <w:t>“</w:t>
      </w:r>
      <w:r>
        <w:t>一带一路</w:t>
      </w:r>
      <w:r>
        <w:rPr>
          <w:rFonts w:hint="eastAsia"/>
        </w:rPr>
        <w:t>”</w:t>
      </w:r>
      <w:r>
        <w:t>倡议、东盟以至亚洲区内其他经济体，还是粤港澳大湾区发展，香港经济都将注入新动力，开创新局面。</w:t>
      </w:r>
    </w:p>
    <w:p w14:paraId="7EFC020D" w14:textId="77777777" w:rsidR="00DD1E0B" w:rsidRDefault="00C924F2">
      <w:pPr>
        <w:pStyle w:val="2"/>
      </w:pPr>
      <w:bookmarkStart w:id="29" w:name="_Toc508835213"/>
      <w:r>
        <w:rPr>
          <w:rFonts w:hint="eastAsia"/>
        </w:rPr>
        <w:t>8</w:t>
      </w:r>
      <w:r>
        <w:t xml:space="preserve">.2 </w:t>
      </w:r>
      <w:r>
        <w:t>国家税务总局关于税收协定执行若干问题的公告</w:t>
      </w:r>
      <w:bookmarkEnd w:id="29"/>
    </w:p>
    <w:p w14:paraId="24E7B88A" w14:textId="77777777" w:rsidR="00DD1E0B" w:rsidRDefault="00C924F2">
      <w:pPr>
        <w:pStyle w:val="3"/>
      </w:pPr>
      <w:r>
        <w:rPr>
          <w:rFonts w:hint="eastAsia"/>
        </w:rPr>
        <w:t>8</w:t>
      </w:r>
      <w:r>
        <w:t xml:space="preserve">.2.1 </w:t>
      </w:r>
      <w:r>
        <w:t>内容</w:t>
      </w:r>
      <w:r>
        <w:rPr>
          <w:rStyle w:val="af9"/>
          <w:rFonts w:cs="Times New Roman"/>
          <w:b w:val="0"/>
          <w:bCs w:val="0"/>
          <w:szCs w:val="24"/>
        </w:rPr>
        <w:footnoteReference w:id="41"/>
      </w:r>
    </w:p>
    <w:p w14:paraId="44E128C0" w14:textId="77777777" w:rsidR="00DD1E0B" w:rsidRDefault="00C924F2">
      <w:pPr>
        <w:ind w:firstLine="480"/>
      </w:pPr>
      <w:r>
        <w:t>国家税务总局</w:t>
      </w:r>
      <w:r>
        <w:rPr>
          <w:rFonts w:hint="eastAsia"/>
        </w:rPr>
        <w:t>于</w:t>
      </w:r>
      <w:r>
        <w:rPr>
          <w:rFonts w:hint="eastAsia"/>
        </w:rPr>
        <w:t>2</w:t>
      </w:r>
      <w:r>
        <w:rPr>
          <w:rFonts w:hint="eastAsia"/>
        </w:rPr>
        <w:t>月</w:t>
      </w:r>
      <w:r>
        <w:rPr>
          <w:rFonts w:hint="eastAsia"/>
        </w:rPr>
        <w:t>9</w:t>
      </w:r>
      <w:r>
        <w:rPr>
          <w:rFonts w:hint="eastAsia"/>
        </w:rPr>
        <w:t>日发布</w:t>
      </w:r>
      <w:r>
        <w:t>关于税收协定执行若干问题的公告</w:t>
      </w:r>
      <w:r>
        <w:rPr>
          <w:rFonts w:hint="eastAsia"/>
        </w:rPr>
        <w:t>，自</w:t>
      </w:r>
      <w:r>
        <w:rPr>
          <w:rFonts w:hint="eastAsia"/>
        </w:rPr>
        <w:t>2018</w:t>
      </w:r>
      <w:r>
        <w:rPr>
          <w:rFonts w:hint="eastAsia"/>
        </w:rPr>
        <w:t>年</w:t>
      </w:r>
      <w:r>
        <w:rPr>
          <w:rFonts w:hint="eastAsia"/>
        </w:rPr>
        <w:t>4</w:t>
      </w:r>
      <w:r>
        <w:rPr>
          <w:rFonts w:hint="eastAsia"/>
        </w:rPr>
        <w:t>月</w:t>
      </w:r>
      <w:r>
        <w:rPr>
          <w:rFonts w:hint="eastAsia"/>
        </w:rPr>
        <w:t>1</w:t>
      </w:r>
      <w:r>
        <w:rPr>
          <w:rFonts w:hint="eastAsia"/>
        </w:rPr>
        <w:t>日起施行。《</w:t>
      </w:r>
      <w:r>
        <w:rPr>
          <w:rFonts w:hint="eastAsia"/>
        </w:rPr>
        <w:t>&lt;</w:t>
      </w:r>
      <w:r>
        <w:t>中华人民共和国政府和新加坡共和国政府关于对所得避免双重征税和防止偷漏税的协定</w:t>
      </w:r>
      <w:r>
        <w:rPr>
          <w:rFonts w:hint="eastAsia"/>
        </w:rPr>
        <w:t>&gt;</w:t>
      </w:r>
      <w:r>
        <w:t>及议定书条文解释》（国税发〔</w:t>
      </w:r>
      <w:r>
        <w:t>2010</w:t>
      </w:r>
      <w:r>
        <w:t>〕</w:t>
      </w:r>
      <w:r>
        <w:t>75</w:t>
      </w:r>
      <w:r>
        <w:t>号）第八条和第十七条同时废止。公告对税收协定中常设机构、海运和空运、演艺人员和运动员条款，以及合伙企业适用税收协定等有关事项作出进一步明</w:t>
      </w:r>
      <w:r>
        <w:t>确，主要内容如下</w:t>
      </w:r>
      <w:r>
        <w:rPr>
          <w:rFonts w:hint="eastAsia"/>
        </w:rPr>
        <w:t>。</w:t>
      </w:r>
    </w:p>
    <w:p w14:paraId="0CE52771" w14:textId="77777777" w:rsidR="00DD1E0B" w:rsidRDefault="00C924F2">
      <w:pPr>
        <w:ind w:firstLine="480"/>
      </w:pPr>
      <w:r>
        <w:rPr>
          <w:rFonts w:hint="eastAsia"/>
        </w:rPr>
        <w:t>（</w:t>
      </w:r>
      <w:r>
        <w:rPr>
          <w:rFonts w:hint="eastAsia"/>
        </w:rPr>
        <w:t>1</w:t>
      </w:r>
      <w:r>
        <w:rPr>
          <w:rFonts w:hint="eastAsia"/>
        </w:rPr>
        <w:t>）</w:t>
      </w:r>
      <w:r>
        <w:t>常设机构条款有关问题</w:t>
      </w:r>
    </w:p>
    <w:p w14:paraId="4E26DDC9" w14:textId="77777777" w:rsidR="00DD1E0B" w:rsidRDefault="00C924F2">
      <w:pPr>
        <w:ind w:firstLine="480"/>
      </w:pPr>
      <w:r>
        <w:t>明确中外合作办学有关机构、场所构成常设机构</w:t>
      </w:r>
      <w:r>
        <w:rPr>
          <w:rFonts w:hint="eastAsia"/>
        </w:rPr>
        <w:t>，</w:t>
      </w:r>
      <w:r>
        <w:t>常设机构</w:t>
      </w:r>
      <w:r>
        <w:rPr>
          <w:rFonts w:hint="eastAsia"/>
        </w:rPr>
        <w:t>的时间判断标准修正。</w:t>
      </w:r>
    </w:p>
    <w:p w14:paraId="441749A7" w14:textId="77777777" w:rsidR="00DD1E0B" w:rsidRDefault="00C924F2">
      <w:pPr>
        <w:ind w:firstLine="480"/>
      </w:pPr>
      <w:r>
        <w:rPr>
          <w:rFonts w:hint="eastAsia"/>
        </w:rPr>
        <w:t>（</w:t>
      </w:r>
      <w:r>
        <w:rPr>
          <w:rFonts w:hint="eastAsia"/>
        </w:rPr>
        <w:t>2</w:t>
      </w:r>
      <w:r>
        <w:rPr>
          <w:rFonts w:hint="eastAsia"/>
        </w:rPr>
        <w:t>）海运和空运条款有关问题</w:t>
      </w:r>
    </w:p>
    <w:p w14:paraId="4C715925" w14:textId="77777777" w:rsidR="00DD1E0B" w:rsidRDefault="00C924F2">
      <w:pPr>
        <w:ind w:firstLine="480"/>
      </w:pPr>
      <w:r>
        <w:t>明确湿租、程租、期租属于国际运输业务</w:t>
      </w:r>
      <w:r>
        <w:rPr>
          <w:rFonts w:hint="eastAsia"/>
        </w:rPr>
        <w:t>；明确光租和干租适用海运和空运条款相关问题；明确“附属”业务的判断标准。</w:t>
      </w:r>
    </w:p>
    <w:p w14:paraId="3375B33D" w14:textId="77777777" w:rsidR="00DD1E0B" w:rsidRDefault="00C924F2">
      <w:pPr>
        <w:ind w:firstLine="480"/>
      </w:pPr>
      <w:r>
        <w:rPr>
          <w:rFonts w:hint="eastAsia"/>
        </w:rPr>
        <w:t>（</w:t>
      </w:r>
      <w:r>
        <w:rPr>
          <w:rFonts w:hint="eastAsia"/>
        </w:rPr>
        <w:t>3</w:t>
      </w:r>
      <w:r>
        <w:rPr>
          <w:rFonts w:hint="eastAsia"/>
        </w:rPr>
        <w:t>）演艺人员和运动员条款有关问题</w:t>
      </w:r>
    </w:p>
    <w:p w14:paraId="4569F9FC" w14:textId="77777777" w:rsidR="00DD1E0B" w:rsidRDefault="00C924F2">
      <w:pPr>
        <w:ind w:firstLine="480"/>
      </w:pPr>
      <w:r>
        <w:lastRenderedPageBreak/>
        <w:t>明确演艺人员和运动员条款适用的活动范围</w:t>
      </w:r>
      <w:r>
        <w:rPr>
          <w:rFonts w:hint="eastAsia"/>
        </w:rPr>
        <w:t>；明确演艺人员和运动员条款的具体适用规则</w:t>
      </w:r>
      <w:r>
        <w:t>。</w:t>
      </w:r>
    </w:p>
    <w:p w14:paraId="0DA815B0" w14:textId="77777777" w:rsidR="00DD1E0B" w:rsidRDefault="00C924F2">
      <w:pPr>
        <w:ind w:firstLine="480"/>
      </w:pPr>
      <w:r>
        <w:rPr>
          <w:rFonts w:hint="eastAsia"/>
        </w:rPr>
        <w:t>（</w:t>
      </w:r>
      <w:r>
        <w:rPr>
          <w:rFonts w:hint="eastAsia"/>
        </w:rPr>
        <w:t>4</w:t>
      </w:r>
      <w:r>
        <w:rPr>
          <w:rFonts w:hint="eastAsia"/>
        </w:rPr>
        <w:t>）明确合伙企业适用税收协定的问题</w:t>
      </w:r>
    </w:p>
    <w:p w14:paraId="0454ABF3" w14:textId="77777777" w:rsidR="00DD1E0B" w:rsidRDefault="00C924F2">
      <w:pPr>
        <w:ind w:firstLine="480"/>
      </w:pPr>
      <w:r>
        <w:t>针对合伙企业设在中国境内的情形</w:t>
      </w:r>
      <w:r>
        <w:rPr>
          <w:rFonts w:hint="eastAsia"/>
        </w:rPr>
        <w:t>；针对合伙企业设在中国境外的情形；依照外国（地区）法律成立的合伙</w:t>
      </w:r>
      <w:r>
        <w:rPr>
          <w:rFonts w:hint="eastAsia"/>
        </w:rPr>
        <w:t>企业税收居民身份证明的问题。</w:t>
      </w:r>
    </w:p>
    <w:p w14:paraId="3F5546CB" w14:textId="77777777" w:rsidR="00DD1E0B" w:rsidRDefault="00C924F2">
      <w:pPr>
        <w:pStyle w:val="3"/>
      </w:pPr>
      <w:r>
        <w:rPr>
          <w:rFonts w:hint="eastAsia"/>
        </w:rPr>
        <w:t>8</w:t>
      </w:r>
      <w:r>
        <w:t xml:space="preserve">.2.2 </w:t>
      </w:r>
      <w:r>
        <w:rPr>
          <w:rFonts w:hint="eastAsia"/>
        </w:rPr>
        <w:t>背景与评价</w:t>
      </w:r>
    </w:p>
    <w:p w14:paraId="4589B875" w14:textId="77777777" w:rsidR="00DD1E0B" w:rsidRDefault="00C924F2">
      <w:pPr>
        <w:ind w:firstLine="480"/>
        <w:rPr>
          <w:rFonts w:cs="Times New Roman"/>
        </w:rPr>
      </w:pPr>
      <w:r>
        <w:rPr>
          <w:rFonts w:cs="Times New Roman" w:hint="eastAsia"/>
        </w:rPr>
        <w:t>随着</w:t>
      </w:r>
      <w:r>
        <w:rPr>
          <w:rFonts w:cs="Times New Roman"/>
        </w:rPr>
        <w:t>各国经济的相互关系日益密切，跨国公司日益增多，加以各国税收制度和负担水平存在着差异，利用法律漏洞逃漏税收的方法也日益诡秘，由此而在发达国家与发展中国家都造成相当大的损失。各国税务行政当局难以防止发生在其领土管辖之外的各种逃税、漏税，也就愈加注重加强国际的税务合作。因此防止国际逃税、漏税的税务合作，正在向条约化的方向发展。</w:t>
      </w:r>
      <w:r>
        <w:rPr>
          <w:rFonts w:cs="Times New Roman" w:hint="eastAsia"/>
        </w:rPr>
        <w:t>此次公告的发布是</w:t>
      </w:r>
      <w:r>
        <w:rPr>
          <w:rFonts w:cs="Times New Roman"/>
        </w:rPr>
        <w:t>为</w:t>
      </w:r>
      <w:r>
        <w:rPr>
          <w:rFonts w:cs="Times New Roman" w:hint="eastAsia"/>
        </w:rPr>
        <w:t>了</w:t>
      </w:r>
      <w:r>
        <w:rPr>
          <w:rFonts w:cs="Times New Roman"/>
        </w:rPr>
        <w:t>统一和规范我国政府对外签署的避免双重征税协定的执行</w:t>
      </w:r>
      <w:r>
        <w:rPr>
          <w:rFonts w:cs="Times New Roman" w:hint="eastAsia"/>
        </w:rPr>
        <w:t>。</w:t>
      </w:r>
    </w:p>
    <w:p w14:paraId="4F762AC2" w14:textId="77777777" w:rsidR="00DD1E0B" w:rsidRDefault="00C924F2">
      <w:pPr>
        <w:pStyle w:val="3"/>
      </w:pPr>
      <w:r>
        <w:rPr>
          <w:rFonts w:hint="eastAsia"/>
        </w:rPr>
        <w:t>8</w:t>
      </w:r>
      <w:r>
        <w:t>.</w:t>
      </w:r>
      <w:r>
        <w:rPr>
          <w:rFonts w:hint="eastAsia"/>
        </w:rPr>
        <w:t>3</w:t>
      </w:r>
      <w:r>
        <w:t xml:space="preserve"> </w:t>
      </w:r>
      <w:r>
        <w:rPr>
          <w:rFonts w:hint="eastAsia"/>
        </w:rPr>
        <w:t>2017</w:t>
      </w:r>
      <w:r>
        <w:rPr>
          <w:rFonts w:hint="eastAsia"/>
        </w:rPr>
        <w:t>年</w:t>
      </w:r>
      <w:r>
        <w:t>税务机关公布税收违法</w:t>
      </w:r>
      <w:r>
        <w:rPr>
          <w:rFonts w:hint="eastAsia"/>
        </w:rPr>
        <w:t>“</w:t>
      </w:r>
      <w:r>
        <w:t>黑名单</w:t>
      </w:r>
      <w:r>
        <w:rPr>
          <w:rFonts w:hint="eastAsia"/>
        </w:rPr>
        <w:t>”</w:t>
      </w:r>
      <w:r>
        <w:t>超</w:t>
      </w:r>
      <w:r>
        <w:t>4000</w:t>
      </w:r>
      <w:r>
        <w:t>件</w:t>
      </w:r>
      <w:r>
        <w:rPr>
          <w:rStyle w:val="af9"/>
          <w:rFonts w:cs="Times New Roman"/>
          <w:b w:val="0"/>
          <w:bCs w:val="0"/>
          <w:szCs w:val="24"/>
        </w:rPr>
        <w:footnoteReference w:id="42"/>
      </w:r>
    </w:p>
    <w:p w14:paraId="292D4AB6" w14:textId="77777777" w:rsidR="00DD1E0B" w:rsidRDefault="00C924F2">
      <w:pPr>
        <w:pStyle w:val="3"/>
      </w:pPr>
      <w:r>
        <w:rPr>
          <w:rFonts w:hint="eastAsia"/>
        </w:rPr>
        <w:t>8</w:t>
      </w:r>
      <w:r>
        <w:t>.</w:t>
      </w:r>
      <w:r>
        <w:rPr>
          <w:rFonts w:hint="eastAsia"/>
        </w:rPr>
        <w:t>3</w:t>
      </w:r>
      <w:r>
        <w:t xml:space="preserve">.1 </w:t>
      </w:r>
      <w:r>
        <w:t>内容</w:t>
      </w:r>
    </w:p>
    <w:p w14:paraId="4997F525" w14:textId="77777777" w:rsidR="00DD1E0B" w:rsidRDefault="00C924F2">
      <w:pPr>
        <w:ind w:firstLine="480"/>
        <w:rPr>
          <w:rFonts w:cs="Times New Roman"/>
        </w:rPr>
      </w:pPr>
      <w:r>
        <w:rPr>
          <w:rFonts w:cs="Times New Roman"/>
        </w:rPr>
        <w:t>国家税务总局办公厅副主任付树林</w:t>
      </w:r>
      <w:r>
        <w:rPr>
          <w:rFonts w:cs="Times New Roman"/>
        </w:rPr>
        <w:t>1</w:t>
      </w:r>
      <w:r>
        <w:rPr>
          <w:rFonts w:cs="Times New Roman"/>
        </w:rPr>
        <w:t>日表示，</w:t>
      </w:r>
      <w:r>
        <w:rPr>
          <w:rFonts w:cs="Times New Roman"/>
        </w:rPr>
        <w:t>2017</w:t>
      </w:r>
      <w:r>
        <w:rPr>
          <w:rFonts w:cs="Times New Roman"/>
        </w:rPr>
        <w:t>年，税务总局加强与各部门的协同监管，加强联合惩戒。各级税务机关按照备忘录规定，将全部税收违法</w:t>
      </w:r>
      <w:r>
        <w:rPr>
          <w:rFonts w:cs="Times New Roman"/>
        </w:rPr>
        <w:t>“</w:t>
      </w:r>
      <w:r>
        <w:rPr>
          <w:rFonts w:cs="Times New Roman"/>
        </w:rPr>
        <w:t>黑名单</w:t>
      </w:r>
      <w:r>
        <w:rPr>
          <w:rFonts w:cs="Times New Roman"/>
        </w:rPr>
        <w:t>”</w:t>
      </w:r>
      <w:r>
        <w:rPr>
          <w:rFonts w:cs="Times New Roman"/>
        </w:rPr>
        <w:t>案件当事人列入纳税信用</w:t>
      </w:r>
      <w:r>
        <w:rPr>
          <w:rFonts w:cs="Times New Roman"/>
        </w:rPr>
        <w:t>D</w:t>
      </w:r>
      <w:r>
        <w:rPr>
          <w:rFonts w:cs="Times New Roman"/>
        </w:rPr>
        <w:t>级范围，依法采取更严格的发票管理、出口退税审核和税收检查等措施，同时将重大税收违法案件当事人信息提供给参与联合惩戒的部门。全年共推送多部门联合惩戒</w:t>
      </w:r>
      <w:r>
        <w:rPr>
          <w:rFonts w:cs="Times New Roman"/>
        </w:rPr>
        <w:t>6.42</w:t>
      </w:r>
      <w:r>
        <w:rPr>
          <w:rFonts w:cs="Times New Roman"/>
        </w:rPr>
        <w:t>万户次</w:t>
      </w:r>
      <w:r>
        <w:rPr>
          <w:rFonts w:cs="Times New Roman"/>
        </w:rPr>
        <w:t xml:space="preserve">, </w:t>
      </w:r>
      <w:r>
        <w:rPr>
          <w:rFonts w:cs="Times New Roman"/>
        </w:rPr>
        <w:t>同比增长</w:t>
      </w:r>
      <w:r>
        <w:rPr>
          <w:rFonts w:cs="Times New Roman"/>
        </w:rPr>
        <w:t>153%</w:t>
      </w:r>
      <w:r>
        <w:rPr>
          <w:rFonts w:cs="Times New Roman"/>
        </w:rPr>
        <w:t>。</w:t>
      </w:r>
    </w:p>
    <w:p w14:paraId="65A472CB" w14:textId="77777777" w:rsidR="00DD1E0B" w:rsidRDefault="00C924F2">
      <w:pPr>
        <w:pStyle w:val="3"/>
      </w:pPr>
      <w:r>
        <w:rPr>
          <w:rFonts w:hint="eastAsia"/>
        </w:rPr>
        <w:t>8</w:t>
      </w:r>
      <w:r>
        <w:t>.</w:t>
      </w:r>
      <w:r>
        <w:rPr>
          <w:rFonts w:hint="eastAsia"/>
        </w:rPr>
        <w:t>3</w:t>
      </w:r>
      <w:r>
        <w:t xml:space="preserve">.2 </w:t>
      </w:r>
      <w:r>
        <w:rPr>
          <w:rFonts w:hint="eastAsia"/>
        </w:rPr>
        <w:t>背景与评价</w:t>
      </w:r>
    </w:p>
    <w:p w14:paraId="70D4B43A" w14:textId="77777777" w:rsidR="00DD1E0B" w:rsidRDefault="00C924F2">
      <w:pPr>
        <w:pStyle w:val="ae"/>
      </w:pPr>
      <w:r>
        <w:rPr>
          <w:rFonts w:hint="eastAsia"/>
        </w:rPr>
        <w:t xml:space="preserve">8.3.2.1 </w:t>
      </w:r>
      <w:r>
        <w:rPr>
          <w:rFonts w:hint="eastAsia"/>
        </w:rPr>
        <w:t>背景</w:t>
      </w:r>
    </w:p>
    <w:p w14:paraId="2B131726" w14:textId="77777777" w:rsidR="00DD1E0B" w:rsidRDefault="00C924F2">
      <w:pPr>
        <w:ind w:firstLine="480"/>
      </w:pPr>
      <w:r>
        <w:t>2017</w:t>
      </w:r>
      <w:r>
        <w:t>年全国税务系统开展了为期</w:t>
      </w:r>
      <w:r>
        <w:t>3</w:t>
      </w:r>
      <w:r>
        <w:t>个月的税情大调研和体验式蹲点调研，集中查找和解决一</w:t>
      </w:r>
      <w:r>
        <w:t>批影响税务系统</w:t>
      </w:r>
      <w:r>
        <w:rPr>
          <w:rFonts w:hint="eastAsia"/>
        </w:rPr>
        <w:t>“</w:t>
      </w:r>
      <w:r>
        <w:t>放管服</w:t>
      </w:r>
      <w:r>
        <w:rPr>
          <w:rFonts w:hint="eastAsia"/>
        </w:rPr>
        <w:t>”</w:t>
      </w:r>
      <w:r>
        <w:t>改革的痛点、堵点、难点问题。</w:t>
      </w:r>
      <w:r>
        <w:rPr>
          <w:rFonts w:hint="eastAsia"/>
        </w:rPr>
        <w:t>税务</w:t>
      </w:r>
      <w:r>
        <w:t>根据调研情况制定出台了《税务系统深化</w:t>
      </w:r>
      <w:r>
        <w:rPr>
          <w:rFonts w:hint="eastAsia"/>
        </w:rPr>
        <w:t>‘</w:t>
      </w:r>
      <w:r>
        <w:t>放管服</w:t>
      </w:r>
      <w:r>
        <w:rPr>
          <w:rFonts w:hint="eastAsia"/>
        </w:rPr>
        <w:t>’</w:t>
      </w:r>
      <w:r>
        <w:t>改革、优化税收环境的若干意见》，提出</w:t>
      </w:r>
      <w:r>
        <w:t>30</w:t>
      </w:r>
      <w:r>
        <w:t>条措施，统筹推进税务系统</w:t>
      </w:r>
      <w:r>
        <w:rPr>
          <w:rFonts w:hint="eastAsia"/>
        </w:rPr>
        <w:t>‘</w:t>
      </w:r>
      <w:r>
        <w:t>放管服</w:t>
      </w:r>
      <w:r>
        <w:rPr>
          <w:rFonts w:hint="eastAsia"/>
        </w:rPr>
        <w:t>’</w:t>
      </w:r>
      <w:r>
        <w:t>改革。</w:t>
      </w:r>
      <w:r>
        <w:rPr>
          <w:rFonts w:hint="eastAsia"/>
        </w:rPr>
        <w:t>同时，</w:t>
      </w:r>
      <w:r>
        <w:t>税务部门推出了取消代开发票证明材料、推行实名办税等一系列实招硬招，使办税时间大为压缩。</w:t>
      </w:r>
    </w:p>
    <w:p w14:paraId="166BCCDF" w14:textId="77777777" w:rsidR="00DD1E0B" w:rsidRDefault="00C924F2">
      <w:pPr>
        <w:ind w:firstLine="480"/>
      </w:pPr>
      <w:r>
        <w:lastRenderedPageBreak/>
        <w:t>截至</w:t>
      </w:r>
      <w:r>
        <w:t>2017</w:t>
      </w:r>
      <w:r>
        <w:t>年底，共有</w:t>
      </w:r>
      <w:r>
        <w:t>1551</w:t>
      </w:r>
      <w:r>
        <w:t>人次欠税人被公安部门阻止出境，</w:t>
      </w:r>
      <w:r>
        <w:t>4</w:t>
      </w:r>
      <w:r>
        <w:t>万余户</w:t>
      </w:r>
      <w:r>
        <w:t>“</w:t>
      </w:r>
      <w:r>
        <w:t>黑名单</w:t>
      </w:r>
      <w:r>
        <w:t>”</w:t>
      </w:r>
      <w:r>
        <w:t>当事人在融资授信、政府采购、土地供应、发行债券等方面受到相关部门的限制。在这一过程中，一处失信、处处受限的联合惩戒威慑力得到充分显现。</w:t>
      </w:r>
      <w:r>
        <w:t>2017</w:t>
      </w:r>
      <w:r>
        <w:t>年</w:t>
      </w:r>
      <w:r>
        <w:t>1</w:t>
      </w:r>
      <w:r>
        <w:t>月，税务总局与</w:t>
      </w:r>
      <w:r>
        <w:t>34</w:t>
      </w:r>
      <w:r>
        <w:t>个部门共同签署联合惩戒合作备忘录（</w:t>
      </w:r>
      <w:r>
        <w:t>2016</w:t>
      </w:r>
      <w:r>
        <w:t>版），将参与联合惩戒的部门由</w:t>
      </w:r>
      <w:r>
        <w:t>21</w:t>
      </w:r>
      <w:r>
        <w:t>个增加到</w:t>
      </w:r>
      <w:r>
        <w:t>34</w:t>
      </w:r>
      <w:r>
        <w:t>个，联合惩戒措施由</w:t>
      </w:r>
      <w:r>
        <w:t>18</w:t>
      </w:r>
      <w:r>
        <w:t>项增加到</w:t>
      </w:r>
      <w:r>
        <w:t>28</w:t>
      </w:r>
      <w:r>
        <w:t>项。</w:t>
      </w:r>
      <w:r>
        <w:t>2017</w:t>
      </w:r>
      <w:r>
        <w:t>年</w:t>
      </w:r>
      <w:r>
        <w:t>6</w:t>
      </w:r>
      <w:r>
        <w:t>月，税务总局与发改委签订信用联动合作框架协议，进一步完善了联合惩戒工作机制。</w:t>
      </w:r>
    </w:p>
    <w:p w14:paraId="409F461A" w14:textId="77777777" w:rsidR="00DD1E0B" w:rsidRDefault="00C924F2">
      <w:pPr>
        <w:pStyle w:val="ae"/>
      </w:pPr>
      <w:r>
        <w:rPr>
          <w:rFonts w:hint="eastAsia"/>
        </w:rPr>
        <w:t xml:space="preserve">8.3.2.1 </w:t>
      </w:r>
      <w:r>
        <w:rPr>
          <w:rFonts w:hint="eastAsia"/>
        </w:rPr>
        <w:t>评价</w:t>
      </w:r>
    </w:p>
    <w:p w14:paraId="39512B0A" w14:textId="77777777" w:rsidR="00DD1E0B" w:rsidRDefault="00C924F2">
      <w:pPr>
        <w:ind w:firstLine="480"/>
      </w:pPr>
      <w:r>
        <w:t>为营造公正公平的营商环境，近年来我</w:t>
      </w:r>
      <w:r>
        <w:t>国税务部门不断加强税收违法</w:t>
      </w:r>
      <w:r>
        <w:t>“</w:t>
      </w:r>
      <w:r>
        <w:t>黑名单</w:t>
      </w:r>
      <w:r>
        <w:t>”</w:t>
      </w:r>
      <w:r>
        <w:t>公告及联合惩戒制度。通过推行税收违法</w:t>
      </w:r>
      <w:r>
        <w:t>‘</w:t>
      </w:r>
      <w:r>
        <w:t>黑名单</w:t>
      </w:r>
      <w:r>
        <w:t>’</w:t>
      </w:r>
      <w:r>
        <w:t>和联合惩戒制度来规范纳税人行为、维护公平竞争的市场秩序，也是税务部门优化营商环境的一大举措。</w:t>
      </w:r>
      <w:r>
        <w:t>2018</w:t>
      </w:r>
      <w:r>
        <w:t>年全国税务系统将持续提升税收管理和服务的效能，深化税务系统</w:t>
      </w:r>
      <w:r>
        <w:t>“</w:t>
      </w:r>
      <w:r>
        <w:t>放管服</w:t>
      </w:r>
      <w:r>
        <w:t>”</w:t>
      </w:r>
      <w:r>
        <w:t>改革，着力优化税收营商环境。</w:t>
      </w:r>
    </w:p>
    <w:p w14:paraId="79ECDF11" w14:textId="77777777" w:rsidR="00DD1E0B" w:rsidRDefault="00DD1E0B">
      <w:pPr>
        <w:ind w:firstLine="482"/>
        <w:rPr>
          <w:rFonts w:cs="Times New Roman"/>
          <w:b/>
          <w:bCs/>
          <w:szCs w:val="24"/>
        </w:rPr>
      </w:pPr>
    </w:p>
    <w:p w14:paraId="0F369779" w14:textId="77777777" w:rsidR="00DD1E0B" w:rsidRDefault="00DD1E0B">
      <w:pPr>
        <w:ind w:firstLine="480"/>
        <w:rPr>
          <w:rFonts w:cs="Times New Roman"/>
        </w:rPr>
      </w:pPr>
    </w:p>
    <w:p w14:paraId="2ADFDEF1" w14:textId="77777777" w:rsidR="00DD1E0B" w:rsidRDefault="00DD1E0B">
      <w:pPr>
        <w:ind w:firstLine="480"/>
        <w:sectPr w:rsidR="00DD1E0B">
          <w:footerReference w:type="default" r:id="rId16"/>
          <w:footnotePr>
            <w:numFmt w:val="decimalEnclosedCircleChinese"/>
            <w:numRestart w:val="eachPage"/>
          </w:footnotePr>
          <w:pgSz w:w="11906" w:h="16838"/>
          <w:pgMar w:top="1440" w:right="1800" w:bottom="1440" w:left="1800" w:header="851" w:footer="992" w:gutter="0"/>
          <w:pgNumType w:start="1"/>
          <w:cols w:space="425"/>
          <w:docGrid w:type="lines" w:linePitch="312"/>
        </w:sectPr>
      </w:pPr>
    </w:p>
    <w:p w14:paraId="69789632" w14:textId="77777777" w:rsidR="00DD1E0B" w:rsidRDefault="00DD1E0B">
      <w:pPr>
        <w:widowControl/>
        <w:spacing w:line="240" w:lineRule="auto"/>
        <w:ind w:firstLineChars="0" w:firstLine="0"/>
        <w:jc w:val="left"/>
      </w:pPr>
    </w:p>
    <w:p w14:paraId="5226E36A" w14:textId="77777777" w:rsidR="00DD1E0B" w:rsidRDefault="00C924F2">
      <w:pPr>
        <w:widowControl/>
        <w:spacing w:line="240" w:lineRule="auto"/>
        <w:ind w:firstLineChars="0" w:firstLine="0"/>
        <w:jc w:val="left"/>
        <w:rPr>
          <w:rFonts w:ascii="楷体_GB2312" w:eastAsia="楷体_GB2312"/>
          <w:b/>
          <w:color w:val="002060"/>
          <w:sz w:val="32"/>
          <w:szCs w:val="32"/>
        </w:rPr>
      </w:pPr>
      <w:r>
        <w:rPr>
          <w:rFonts w:ascii="楷体_GB2312" w:eastAsia="楷体_GB2312" w:hint="eastAsia"/>
          <w:b/>
          <w:color w:val="002060"/>
          <w:sz w:val="32"/>
          <w:szCs w:val="32"/>
        </w:rPr>
        <w:t>智库视野</w:t>
      </w:r>
    </w:p>
    <w:p w14:paraId="38EF3EE3" w14:textId="77777777" w:rsidR="00DD1E0B" w:rsidRDefault="00C924F2">
      <w:pPr>
        <w:spacing w:line="360" w:lineRule="atLeast"/>
        <w:ind w:leftChars="-67" w:left="-161" w:firstLine="480"/>
        <w:rPr>
          <w:color w:val="002060"/>
        </w:rPr>
      </w:pPr>
      <w:r>
        <w:rPr>
          <w:noProof/>
          <w:color w:val="002060"/>
        </w:rPr>
        <w:drawing>
          <wp:inline distT="0" distB="0" distL="0" distR="0">
            <wp:extent cx="1028700" cy="102870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028700" cy="1028700"/>
                    </a:xfrm>
                    <a:prstGeom prst="rect">
                      <a:avLst/>
                    </a:prstGeom>
                  </pic:spPr>
                </pic:pic>
              </a:graphicData>
            </a:graphic>
          </wp:inline>
        </w:drawing>
      </w:r>
      <w:r>
        <w:rPr>
          <w:noProof/>
          <w:color w:val="002060"/>
        </w:rPr>
        <w:drawing>
          <wp:inline distT="0" distB="0" distL="0" distR="0">
            <wp:extent cx="1019175" cy="1019175"/>
            <wp:effectExtent l="0" t="0" r="9525" b="952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019175" cy="1019175"/>
                    </a:xfrm>
                    <a:prstGeom prst="rect">
                      <a:avLst/>
                    </a:prstGeom>
                  </pic:spPr>
                </pic:pic>
              </a:graphicData>
            </a:graphic>
          </wp:inline>
        </w:drawing>
      </w:r>
    </w:p>
    <w:p w14:paraId="4D4C5B16" w14:textId="77777777" w:rsidR="00DD1E0B" w:rsidRDefault="00C924F2">
      <w:pPr>
        <w:spacing w:line="360" w:lineRule="atLeast"/>
        <w:ind w:firstLineChars="67" w:firstLine="161"/>
        <w:rPr>
          <w:b/>
          <w:color w:val="002060"/>
        </w:rPr>
      </w:pPr>
      <w:r>
        <w:rPr>
          <w:b/>
          <w:color w:val="002060"/>
        </w:rPr>
        <w:t>研究院微信</w:t>
      </w:r>
      <w:r>
        <w:rPr>
          <w:b/>
          <w:color w:val="002060"/>
        </w:rPr>
        <w:t xml:space="preserve">    </w:t>
      </w:r>
      <w:r>
        <w:rPr>
          <w:rFonts w:hint="eastAsia"/>
          <w:b/>
          <w:color w:val="002060"/>
        </w:rPr>
        <w:t xml:space="preserve"> </w:t>
      </w:r>
      <w:r>
        <w:rPr>
          <w:b/>
          <w:color w:val="002060"/>
        </w:rPr>
        <w:t>研究院微博</w:t>
      </w:r>
    </w:p>
    <w:p w14:paraId="054F45EB" w14:textId="77777777" w:rsidR="00DD1E0B" w:rsidRDefault="00DD1E0B">
      <w:pPr>
        <w:autoSpaceDE w:val="0"/>
        <w:autoSpaceDN w:val="0"/>
        <w:adjustRightInd w:val="0"/>
        <w:spacing w:line="360" w:lineRule="atLeast"/>
        <w:ind w:firstLine="560"/>
        <w:rPr>
          <w:rFonts w:ascii="宋体" w:cs="宋体"/>
          <w:color w:val="002060"/>
          <w:sz w:val="28"/>
          <w:szCs w:val="28"/>
        </w:rPr>
      </w:pPr>
    </w:p>
    <w:p w14:paraId="4D3A0390" w14:textId="77777777" w:rsidR="00DD1E0B" w:rsidRDefault="00DD1E0B">
      <w:pPr>
        <w:autoSpaceDE w:val="0"/>
        <w:autoSpaceDN w:val="0"/>
        <w:adjustRightInd w:val="0"/>
        <w:spacing w:line="360" w:lineRule="atLeast"/>
        <w:ind w:firstLine="560"/>
        <w:rPr>
          <w:rFonts w:ascii="宋体" w:cs="宋体"/>
          <w:color w:val="002060"/>
          <w:sz w:val="28"/>
          <w:szCs w:val="28"/>
        </w:rPr>
      </w:pPr>
    </w:p>
    <w:p w14:paraId="45A7982F" w14:textId="77777777" w:rsidR="00DD1E0B" w:rsidRDefault="00DD1E0B">
      <w:pPr>
        <w:autoSpaceDE w:val="0"/>
        <w:autoSpaceDN w:val="0"/>
        <w:adjustRightInd w:val="0"/>
        <w:spacing w:line="360" w:lineRule="atLeast"/>
        <w:ind w:firstLine="560"/>
        <w:rPr>
          <w:rFonts w:ascii="宋体" w:cs="宋体"/>
          <w:color w:val="002060"/>
          <w:sz w:val="28"/>
          <w:szCs w:val="28"/>
        </w:rPr>
      </w:pPr>
    </w:p>
    <w:p w14:paraId="498619FE" w14:textId="77777777" w:rsidR="00DD1E0B" w:rsidRDefault="00C924F2">
      <w:pPr>
        <w:autoSpaceDE w:val="0"/>
        <w:autoSpaceDN w:val="0"/>
        <w:adjustRightInd w:val="0"/>
        <w:spacing w:line="360" w:lineRule="atLeast"/>
        <w:ind w:firstLine="480"/>
        <w:jc w:val="center"/>
        <w:rPr>
          <w:rFonts w:ascii="宋体" w:cs="宋体"/>
          <w:color w:val="002060"/>
          <w:sz w:val="28"/>
          <w:szCs w:val="28"/>
        </w:rPr>
      </w:pPr>
      <w:r>
        <w:rPr>
          <w:rFonts w:ascii="楷体_GB2312" w:eastAsia="楷体_GB2312" w:hint="eastAsia"/>
          <w:noProof/>
        </w:rPr>
        <w:drawing>
          <wp:inline distT="0" distB="0" distL="0" distR="0">
            <wp:extent cx="1034415" cy="84201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062408" cy="864832"/>
                    </a:xfrm>
                    <a:prstGeom prst="rect">
                      <a:avLst/>
                    </a:prstGeom>
                  </pic:spPr>
                </pic:pic>
              </a:graphicData>
            </a:graphic>
          </wp:inline>
        </w:drawing>
      </w:r>
    </w:p>
    <w:p w14:paraId="389FF3B9" w14:textId="77777777" w:rsidR="00DD1E0B" w:rsidRDefault="00DD1E0B">
      <w:pPr>
        <w:autoSpaceDE w:val="0"/>
        <w:autoSpaceDN w:val="0"/>
        <w:adjustRightInd w:val="0"/>
        <w:spacing w:line="360" w:lineRule="atLeast"/>
        <w:ind w:firstLine="560"/>
        <w:rPr>
          <w:rFonts w:ascii="宋体" w:cs="宋体"/>
          <w:color w:val="002060"/>
          <w:sz w:val="28"/>
          <w:szCs w:val="28"/>
        </w:rPr>
      </w:pPr>
    </w:p>
    <w:p w14:paraId="6B55E0DD" w14:textId="77777777" w:rsidR="00DD1E0B" w:rsidRDefault="00DD1E0B">
      <w:pPr>
        <w:autoSpaceDE w:val="0"/>
        <w:autoSpaceDN w:val="0"/>
        <w:adjustRightInd w:val="0"/>
        <w:spacing w:line="360" w:lineRule="atLeast"/>
        <w:ind w:firstLine="560"/>
        <w:rPr>
          <w:rFonts w:ascii="宋体" w:cs="宋体"/>
          <w:color w:val="002060"/>
          <w:sz w:val="28"/>
          <w:szCs w:val="28"/>
        </w:rPr>
      </w:pPr>
    </w:p>
    <w:p w14:paraId="58A06443" w14:textId="77777777" w:rsidR="00DD1E0B" w:rsidRDefault="00DD1E0B">
      <w:pPr>
        <w:autoSpaceDE w:val="0"/>
        <w:autoSpaceDN w:val="0"/>
        <w:adjustRightInd w:val="0"/>
        <w:spacing w:line="360" w:lineRule="atLeast"/>
        <w:ind w:firstLine="562"/>
        <w:rPr>
          <w:rFonts w:ascii="宋体" w:cs="宋体"/>
          <w:b/>
          <w:color w:val="002060"/>
          <w:sz w:val="28"/>
          <w:szCs w:val="28"/>
        </w:rPr>
      </w:pPr>
    </w:p>
    <w:p w14:paraId="1C33406C" w14:textId="77777777" w:rsidR="00DD1E0B" w:rsidRDefault="00C924F2">
      <w:pPr>
        <w:autoSpaceDE w:val="0"/>
        <w:autoSpaceDN w:val="0"/>
        <w:adjustRightInd w:val="0"/>
        <w:spacing w:line="360" w:lineRule="atLeast"/>
        <w:ind w:firstLine="482"/>
        <w:jc w:val="right"/>
        <w:rPr>
          <w:rFonts w:ascii="仿宋" w:hAnsi="仿宋" w:cs="宋体"/>
          <w:b/>
          <w:color w:val="002060"/>
        </w:rPr>
      </w:pPr>
      <w:r>
        <w:rPr>
          <w:rFonts w:ascii="仿宋" w:hAnsi="仿宋" w:cs="宋体" w:hint="eastAsia"/>
          <w:b/>
          <w:color w:val="002060"/>
        </w:rPr>
        <w:t>主办</w:t>
      </w:r>
    </w:p>
    <w:p w14:paraId="753B4027" w14:textId="77777777" w:rsidR="00DD1E0B" w:rsidRDefault="00C924F2">
      <w:pPr>
        <w:autoSpaceDE w:val="0"/>
        <w:autoSpaceDN w:val="0"/>
        <w:adjustRightInd w:val="0"/>
        <w:spacing w:line="360" w:lineRule="atLeast"/>
        <w:ind w:firstLine="482"/>
        <w:jc w:val="right"/>
        <w:rPr>
          <w:rFonts w:ascii="仿宋" w:hAnsi="仿宋" w:cs="宋体"/>
          <w:b/>
          <w:color w:val="002060"/>
        </w:rPr>
      </w:pPr>
      <w:r>
        <w:rPr>
          <w:rFonts w:ascii="仿宋" w:hAnsi="仿宋" w:cs="宋体" w:hint="eastAsia"/>
          <w:b/>
          <w:color w:val="002060"/>
        </w:rPr>
        <w:t>上</w:t>
      </w:r>
      <w:r>
        <w:rPr>
          <w:rFonts w:ascii="仿宋" w:hAnsi="仿宋" w:cs="宋体"/>
          <w:b/>
          <w:color w:val="002060"/>
        </w:rPr>
        <w:t>海财经大学公共政策与治理研究院</w:t>
      </w:r>
    </w:p>
    <w:p w14:paraId="7D191EF6" w14:textId="77777777" w:rsidR="00DD1E0B" w:rsidRDefault="00C924F2">
      <w:pPr>
        <w:autoSpaceDE w:val="0"/>
        <w:autoSpaceDN w:val="0"/>
        <w:adjustRightInd w:val="0"/>
        <w:spacing w:line="360" w:lineRule="atLeast"/>
        <w:ind w:firstLine="482"/>
        <w:jc w:val="right"/>
        <w:rPr>
          <w:rFonts w:ascii="仿宋" w:hAnsi="仿宋" w:cs="宋体"/>
          <w:b/>
          <w:color w:val="002060"/>
        </w:rPr>
      </w:pPr>
      <w:r>
        <w:rPr>
          <w:rFonts w:ascii="仿宋" w:hAnsi="仿宋" w:cs="宋体" w:hint="eastAsia"/>
          <w:b/>
          <w:color w:val="002060"/>
        </w:rPr>
        <w:t>上海市国定路</w:t>
      </w:r>
      <w:r>
        <w:rPr>
          <w:rFonts w:ascii="仿宋" w:hAnsi="仿宋"/>
          <w:b/>
          <w:color w:val="002060"/>
        </w:rPr>
        <w:t xml:space="preserve">777 </w:t>
      </w:r>
      <w:r>
        <w:rPr>
          <w:rFonts w:ascii="仿宋" w:hAnsi="仿宋" w:cs="宋体" w:hint="eastAsia"/>
          <w:b/>
          <w:color w:val="002060"/>
        </w:rPr>
        <w:t>号</w:t>
      </w:r>
    </w:p>
    <w:p w14:paraId="47C5BAE1" w14:textId="77777777" w:rsidR="00DD1E0B" w:rsidRDefault="00C924F2">
      <w:pPr>
        <w:autoSpaceDE w:val="0"/>
        <w:autoSpaceDN w:val="0"/>
        <w:adjustRightInd w:val="0"/>
        <w:spacing w:line="360" w:lineRule="atLeast"/>
        <w:ind w:firstLine="482"/>
        <w:jc w:val="right"/>
        <w:rPr>
          <w:rFonts w:ascii="仿宋" w:hAnsi="仿宋" w:cs="Calibri"/>
          <w:b/>
          <w:color w:val="002060"/>
        </w:rPr>
      </w:pPr>
      <w:r>
        <w:rPr>
          <w:rFonts w:ascii="仿宋" w:hAnsi="仿宋" w:cs="宋体" w:hint="eastAsia"/>
          <w:b/>
          <w:color w:val="002060"/>
        </w:rPr>
        <w:t>邮政编码：</w:t>
      </w:r>
      <w:r>
        <w:rPr>
          <w:rFonts w:ascii="仿宋" w:hAnsi="仿宋" w:cs="Calibri"/>
          <w:b/>
          <w:color w:val="002060"/>
        </w:rPr>
        <w:t>200433</w:t>
      </w:r>
    </w:p>
    <w:p w14:paraId="079F18CB" w14:textId="77777777" w:rsidR="00DD1E0B" w:rsidRDefault="00C924F2">
      <w:pPr>
        <w:autoSpaceDE w:val="0"/>
        <w:autoSpaceDN w:val="0"/>
        <w:adjustRightInd w:val="0"/>
        <w:spacing w:line="360" w:lineRule="atLeast"/>
        <w:ind w:firstLine="482"/>
        <w:jc w:val="right"/>
        <w:rPr>
          <w:rFonts w:ascii="仿宋" w:hAnsi="仿宋"/>
          <w:b/>
          <w:color w:val="002060"/>
        </w:rPr>
      </w:pPr>
      <w:r>
        <w:rPr>
          <w:rFonts w:ascii="仿宋" w:hAnsi="仿宋" w:cs="宋体" w:hint="eastAsia"/>
          <w:b/>
          <w:color w:val="002060"/>
        </w:rPr>
        <w:t>电话</w:t>
      </w:r>
      <w:r>
        <w:rPr>
          <w:rFonts w:ascii="仿宋" w:hAnsi="仿宋"/>
          <w:b/>
          <w:color w:val="002060"/>
        </w:rPr>
        <w:t>:</w:t>
      </w:r>
      <w:r>
        <w:rPr>
          <w:rFonts w:ascii="仿宋" w:hAnsi="仿宋" w:cs="宋体" w:hint="eastAsia"/>
          <w:b/>
          <w:color w:val="002060"/>
        </w:rPr>
        <w:t>（</w:t>
      </w:r>
      <w:r>
        <w:rPr>
          <w:rFonts w:ascii="仿宋" w:hAnsi="仿宋"/>
          <w:b/>
          <w:color w:val="002060"/>
        </w:rPr>
        <w:t>021</w:t>
      </w:r>
      <w:r>
        <w:rPr>
          <w:rFonts w:ascii="仿宋" w:hAnsi="仿宋" w:cs="宋体" w:hint="eastAsia"/>
          <w:b/>
          <w:color w:val="002060"/>
        </w:rPr>
        <w:t>）</w:t>
      </w:r>
      <w:r>
        <w:rPr>
          <w:rFonts w:ascii="仿宋" w:hAnsi="仿宋"/>
          <w:b/>
          <w:color w:val="002060"/>
        </w:rPr>
        <w:t>6590 8706</w:t>
      </w:r>
    </w:p>
    <w:p w14:paraId="7D86C90F" w14:textId="77777777" w:rsidR="00DD1E0B" w:rsidRDefault="00C924F2">
      <w:pPr>
        <w:autoSpaceDE w:val="0"/>
        <w:autoSpaceDN w:val="0"/>
        <w:adjustRightInd w:val="0"/>
        <w:spacing w:line="360" w:lineRule="atLeast"/>
        <w:ind w:firstLine="482"/>
        <w:jc w:val="right"/>
        <w:rPr>
          <w:rFonts w:ascii="仿宋" w:hAnsi="仿宋" w:cs="宋体"/>
          <w:b/>
          <w:color w:val="002060"/>
        </w:rPr>
      </w:pPr>
      <w:r>
        <w:rPr>
          <w:rFonts w:ascii="仿宋" w:hAnsi="仿宋"/>
          <w:b/>
          <w:color w:val="002060"/>
        </w:rPr>
        <w:t>86 158 2174 6491</w:t>
      </w:r>
      <w:r>
        <w:rPr>
          <w:rFonts w:ascii="仿宋" w:hAnsi="仿宋" w:cs="宋体" w:hint="eastAsia"/>
          <w:b/>
          <w:color w:val="002060"/>
        </w:rPr>
        <w:t>（田</w:t>
      </w:r>
      <w:r>
        <w:rPr>
          <w:rFonts w:ascii="仿宋" w:hAnsi="仿宋" w:cs="宋体"/>
          <w:b/>
          <w:color w:val="002060"/>
        </w:rPr>
        <w:t>志伟</w:t>
      </w:r>
      <w:r>
        <w:rPr>
          <w:rFonts w:ascii="仿宋" w:hAnsi="仿宋" w:cs="宋体" w:hint="eastAsia"/>
          <w:b/>
          <w:color w:val="002060"/>
        </w:rPr>
        <w:t>）</w:t>
      </w:r>
    </w:p>
    <w:p w14:paraId="36DC2FD3" w14:textId="77777777" w:rsidR="00DD1E0B" w:rsidRDefault="00C924F2">
      <w:pPr>
        <w:spacing w:line="360" w:lineRule="atLeast"/>
        <w:ind w:firstLine="482"/>
        <w:jc w:val="right"/>
        <w:rPr>
          <w:b/>
          <w:color w:val="002060"/>
        </w:rPr>
      </w:pPr>
      <w:r>
        <w:rPr>
          <w:rFonts w:ascii="仿宋" w:hAnsi="仿宋" w:cs="宋体" w:hint="eastAsia"/>
          <w:b/>
          <w:color w:val="002060"/>
        </w:rPr>
        <w:t>官方微博</w:t>
      </w:r>
      <w:r>
        <w:rPr>
          <w:rFonts w:ascii="仿宋" w:hAnsi="仿宋"/>
          <w:b/>
          <w:color w:val="002060"/>
        </w:rPr>
        <w:t>:e.weibo.com/u/3932265304</w:t>
      </w:r>
    </w:p>
    <w:p w14:paraId="3823705E" w14:textId="77777777" w:rsidR="00DD1E0B" w:rsidRDefault="00C924F2">
      <w:pPr>
        <w:spacing w:line="360" w:lineRule="atLeast"/>
        <w:ind w:firstLine="482"/>
        <w:jc w:val="right"/>
        <w:rPr>
          <w:rFonts w:ascii="仿宋" w:hAnsi="仿宋"/>
          <w:b/>
          <w:color w:val="002060"/>
        </w:rPr>
      </w:pPr>
      <w:r>
        <w:rPr>
          <w:rFonts w:ascii="仿宋" w:hAnsi="仿宋"/>
          <w:b/>
          <w:color w:val="002060"/>
        </w:rPr>
        <w:t xml:space="preserve"> </w:t>
      </w:r>
      <w:r>
        <w:rPr>
          <w:rFonts w:ascii="仿宋" w:hAnsi="仿宋" w:hint="eastAsia"/>
          <w:b/>
          <w:color w:val="002060"/>
        </w:rPr>
        <w:t>邮箱：</w:t>
      </w:r>
      <w:r>
        <w:rPr>
          <w:b/>
          <w:color w:val="002060"/>
        </w:rPr>
        <w:t>120286069@qq.com</w:t>
      </w:r>
    </w:p>
    <w:p w14:paraId="429AA143" w14:textId="77777777" w:rsidR="00DD1E0B" w:rsidRDefault="00DD1E0B">
      <w:pPr>
        <w:ind w:firstLine="480"/>
      </w:pPr>
    </w:p>
    <w:p w14:paraId="41295C62" w14:textId="77777777" w:rsidR="00DD1E0B" w:rsidRDefault="00DD1E0B">
      <w:pPr>
        <w:ind w:firstLine="480"/>
      </w:pPr>
    </w:p>
    <w:sectPr w:rsidR="00DD1E0B">
      <w:footerReference w:type="default" r:id="rId20"/>
      <w:footnotePr>
        <w:numFmt w:val="decimalEnclosedCircleChinese"/>
        <w:numRestart w:val="eachPage"/>
      </w:footnotePr>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70A7FB" w14:textId="77777777" w:rsidR="00C924F2" w:rsidRDefault="00C924F2">
      <w:pPr>
        <w:spacing w:line="240" w:lineRule="auto"/>
        <w:ind w:firstLine="480"/>
      </w:pPr>
      <w:r>
        <w:separator/>
      </w:r>
    </w:p>
  </w:endnote>
  <w:endnote w:type="continuationSeparator" w:id="0">
    <w:p w14:paraId="786CB8A5" w14:textId="77777777" w:rsidR="00C924F2" w:rsidRDefault="00C924F2">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43" w:usb2="00000009" w:usb3="00000000" w:csb0="000001FF" w:csb1="00000000"/>
  </w:font>
  <w:font w:name="楷体_GB2312">
    <w:altName w:val="楷体"/>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39C05A" w14:textId="77777777" w:rsidR="00DD1E0B" w:rsidRDefault="00DD1E0B">
    <w:pPr>
      <w:pStyle w:val="a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547BE3" w14:textId="77777777" w:rsidR="00DD1E0B" w:rsidRDefault="00DD1E0B">
    <w:pPr>
      <w:pStyle w:val="aa"/>
      <w:ind w:firstLine="360"/>
      <w:jc w:val="center"/>
    </w:pPr>
  </w:p>
  <w:p w14:paraId="6C2190C0" w14:textId="77777777" w:rsidR="00DD1E0B" w:rsidRDefault="00DD1E0B">
    <w:pPr>
      <w:pStyle w:val="aa"/>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D9D551" w14:textId="77777777" w:rsidR="00DD1E0B" w:rsidRDefault="00DD1E0B">
    <w:pPr>
      <w:pStyle w:val="aa"/>
      <w:ind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74350773"/>
    </w:sdtPr>
    <w:sdtEndPr/>
    <w:sdtContent>
      <w:p w14:paraId="739C4918" w14:textId="77777777" w:rsidR="00DD1E0B" w:rsidRDefault="00C924F2">
        <w:pPr>
          <w:pStyle w:val="aa"/>
          <w:ind w:firstLine="360"/>
          <w:jc w:val="center"/>
        </w:pPr>
        <w:r>
          <w:fldChar w:fldCharType="begin"/>
        </w:r>
        <w:r>
          <w:instrText>PAGE   \* MERGEFORMAT</w:instrText>
        </w:r>
        <w:r>
          <w:fldChar w:fldCharType="separate"/>
        </w:r>
        <w:r>
          <w:rPr>
            <w:lang w:val="zh-CN"/>
          </w:rPr>
          <w:t>11</w:t>
        </w:r>
        <w:r>
          <w:fldChar w:fldCharType="end"/>
        </w:r>
      </w:p>
    </w:sdtContent>
  </w:sdt>
  <w:p w14:paraId="4DAD1049" w14:textId="77777777" w:rsidR="00DD1E0B" w:rsidRDefault="00DD1E0B">
    <w:pPr>
      <w:pStyle w:val="aa"/>
      <w:ind w:firstLine="360"/>
    </w:pPr>
  </w:p>
  <w:p w14:paraId="03569006" w14:textId="77777777" w:rsidR="00DD1E0B" w:rsidRDefault="00DD1E0B">
    <w:pPr>
      <w:ind w:firstLine="48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09070711"/>
    </w:sdtPr>
    <w:sdtEndPr/>
    <w:sdtContent>
      <w:p w14:paraId="61C856FD" w14:textId="77777777" w:rsidR="00DD1E0B" w:rsidRDefault="00C924F2">
        <w:pPr>
          <w:pStyle w:val="aa"/>
          <w:ind w:firstLine="360"/>
          <w:jc w:val="center"/>
        </w:pPr>
      </w:p>
    </w:sdtContent>
  </w:sdt>
  <w:p w14:paraId="5DBE0498" w14:textId="77777777" w:rsidR="00DD1E0B" w:rsidRDefault="00DD1E0B">
    <w:pPr>
      <w:pStyle w:val="aa"/>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671296" w14:textId="77777777" w:rsidR="00C924F2" w:rsidRDefault="00C924F2">
      <w:pPr>
        <w:spacing w:line="240" w:lineRule="auto"/>
        <w:ind w:firstLine="480"/>
      </w:pPr>
      <w:r>
        <w:separator/>
      </w:r>
    </w:p>
  </w:footnote>
  <w:footnote w:type="continuationSeparator" w:id="0">
    <w:p w14:paraId="4F2093CA" w14:textId="77777777" w:rsidR="00C924F2" w:rsidRDefault="00C924F2">
      <w:pPr>
        <w:spacing w:line="240" w:lineRule="auto"/>
        <w:ind w:firstLine="480"/>
      </w:pPr>
      <w:r>
        <w:continuationSeparator/>
      </w:r>
    </w:p>
  </w:footnote>
  <w:footnote w:id="1">
    <w:p w14:paraId="5DC32F82" w14:textId="77777777" w:rsidR="00DD1E0B" w:rsidRDefault="00C924F2">
      <w:pPr>
        <w:pStyle w:val="afb"/>
      </w:pPr>
      <w:r>
        <w:rPr>
          <w:rStyle w:val="af9"/>
        </w:rPr>
        <w:footnoteRef/>
      </w:r>
      <w:r>
        <w:t xml:space="preserve"> </w:t>
      </w:r>
      <w:r>
        <w:rPr>
          <w:rFonts w:hint="eastAsia"/>
        </w:rPr>
        <w:t>KPMG 2017</w:t>
      </w:r>
      <w:r>
        <w:rPr>
          <w:rFonts w:hint="eastAsia"/>
        </w:rPr>
        <w:t>年</w:t>
      </w:r>
      <w:r>
        <w:t>2</w:t>
      </w:r>
      <w:r>
        <w:rPr>
          <w:rFonts w:hint="eastAsia"/>
        </w:rPr>
        <w:t>月报告</w:t>
      </w:r>
      <w:r>
        <w:t>https://home.kpmg.com/xx/en/home/insights/2018/02/finance-details-backstop-rules-for-carbon-tax.html</w:t>
      </w:r>
    </w:p>
  </w:footnote>
  <w:footnote w:id="2">
    <w:p w14:paraId="24026479" w14:textId="77777777" w:rsidR="00DD1E0B" w:rsidRDefault="00C924F2">
      <w:pPr>
        <w:pStyle w:val="afb"/>
      </w:pPr>
      <w:r>
        <w:rPr>
          <w:rStyle w:val="af9"/>
        </w:rPr>
        <w:footnoteRef/>
      </w:r>
      <w:r>
        <w:t xml:space="preserve"> </w:t>
      </w:r>
      <w:r>
        <w:rPr>
          <w:rFonts w:hint="eastAsia"/>
        </w:rPr>
        <w:t>KPMG 2017</w:t>
      </w:r>
      <w:r>
        <w:rPr>
          <w:rFonts w:hint="eastAsia"/>
        </w:rPr>
        <w:t>年</w:t>
      </w:r>
      <w:r>
        <w:t>2</w:t>
      </w:r>
      <w:r>
        <w:rPr>
          <w:rFonts w:hint="eastAsia"/>
        </w:rPr>
        <w:t>月报告</w:t>
      </w:r>
      <w:r>
        <w:t>https://home.kpmg.com/xx/en/home/insights/2018/02/finance-details-backstop-rules-for-carbon-tax.html</w:t>
      </w:r>
    </w:p>
  </w:footnote>
  <w:footnote w:id="3">
    <w:p w14:paraId="0AD52C0F" w14:textId="77777777" w:rsidR="00DD1E0B" w:rsidRDefault="00C924F2">
      <w:pPr>
        <w:pStyle w:val="afb"/>
      </w:pPr>
      <w:r>
        <w:rPr>
          <w:rStyle w:val="af9"/>
        </w:rPr>
        <w:footnoteRef/>
      </w:r>
      <w:r>
        <w:t xml:space="preserve"> </w:t>
      </w:r>
      <w:r>
        <w:rPr>
          <w:rFonts w:hint="eastAsia"/>
        </w:rPr>
        <w:t>中国碳排放交易网</w:t>
      </w:r>
      <w:r>
        <w:t>http://www.tanpaifang.com/tanshui/2016/1008/56900.html</w:t>
      </w:r>
    </w:p>
  </w:footnote>
  <w:footnote w:id="4">
    <w:p w14:paraId="2F07F479" w14:textId="77777777" w:rsidR="00DD1E0B" w:rsidRDefault="00C924F2">
      <w:pPr>
        <w:pStyle w:val="afb"/>
      </w:pPr>
      <w:r>
        <w:rPr>
          <w:rStyle w:val="af9"/>
        </w:rPr>
        <w:footnoteRef/>
      </w:r>
      <w:r>
        <w:t xml:space="preserve"> </w:t>
      </w:r>
      <w:r>
        <w:rPr>
          <w:rFonts w:hint="eastAsia"/>
        </w:rPr>
        <w:t>四川省商务厅</w:t>
      </w:r>
      <w:r>
        <w:t>http://www.sccom.gov.cn/jwswxx/-/articles/3175932.shtml</w:t>
      </w:r>
    </w:p>
  </w:footnote>
  <w:footnote w:id="5">
    <w:p w14:paraId="5F3A8233" w14:textId="77777777" w:rsidR="00DD1E0B" w:rsidRDefault="00C924F2">
      <w:pPr>
        <w:pStyle w:val="afb"/>
      </w:pPr>
      <w:r>
        <w:rPr>
          <w:rStyle w:val="af9"/>
        </w:rPr>
        <w:footnoteRef/>
      </w:r>
      <w:r>
        <w:t xml:space="preserve"> </w:t>
      </w:r>
      <w:r>
        <w:rPr>
          <w:rFonts w:hint="eastAsia"/>
        </w:rPr>
        <w:t>KPMG 2017</w:t>
      </w:r>
      <w:r>
        <w:rPr>
          <w:rFonts w:hint="eastAsia"/>
        </w:rPr>
        <w:t>年</w:t>
      </w:r>
      <w:r>
        <w:t>2</w:t>
      </w:r>
      <w:r>
        <w:rPr>
          <w:rFonts w:hint="eastAsia"/>
        </w:rPr>
        <w:t>月报告</w:t>
      </w:r>
      <w:r>
        <w:t>https://home.kpmg.com/ca/en/home/insights/2018/02/federal-budget-2018-whats-up.html</w:t>
      </w:r>
    </w:p>
  </w:footnote>
  <w:footnote w:id="6">
    <w:p w14:paraId="62A1B9DD" w14:textId="77777777" w:rsidR="00DD1E0B" w:rsidRDefault="00C924F2">
      <w:pPr>
        <w:pStyle w:val="afb"/>
      </w:pPr>
      <w:r>
        <w:rPr>
          <w:rStyle w:val="af9"/>
        </w:rPr>
        <w:footnoteRef/>
      </w:r>
      <w:r>
        <w:t xml:space="preserve"> </w:t>
      </w:r>
      <w:r>
        <w:rPr>
          <w:rFonts w:hint="eastAsia"/>
        </w:rPr>
        <w:t>KPMG 2017</w:t>
      </w:r>
      <w:r>
        <w:rPr>
          <w:rFonts w:hint="eastAsia"/>
        </w:rPr>
        <w:t>年</w:t>
      </w:r>
      <w:r>
        <w:t>2</w:t>
      </w:r>
      <w:r>
        <w:rPr>
          <w:rFonts w:hint="eastAsia"/>
        </w:rPr>
        <w:t>月报告</w:t>
      </w:r>
      <w:r>
        <w:t>https://assets.kpmg.c</w:t>
      </w:r>
      <w:r>
        <w:t>om/content/dam/kpmg/ca/pdf/tnf/2018/ca-federal-budget-2018-what%E2%80%99s-up.pdf</w:t>
      </w:r>
    </w:p>
  </w:footnote>
  <w:footnote w:id="7">
    <w:p w14:paraId="71643D3B" w14:textId="77777777" w:rsidR="00DD1E0B" w:rsidRDefault="00C924F2">
      <w:pPr>
        <w:pStyle w:val="afb"/>
      </w:pPr>
      <w:r>
        <w:rPr>
          <w:rStyle w:val="af9"/>
        </w:rPr>
        <w:footnoteRef/>
      </w:r>
      <w:r>
        <w:t xml:space="preserve"> </w:t>
      </w:r>
      <w:r>
        <w:rPr>
          <w:rFonts w:hint="eastAsia"/>
        </w:rPr>
        <w:t>加拿大</w:t>
      </w:r>
      <w:r>
        <w:rPr>
          <w:rFonts w:hint="eastAsia"/>
        </w:rPr>
        <w:t>IMPACT</w:t>
      </w:r>
      <w:r>
        <w:rPr>
          <w:rFonts w:hint="eastAsia"/>
        </w:rPr>
        <w:t>会计师事务所：今日头条转载</w:t>
      </w:r>
      <w:r>
        <w:t>https://www.toutiao.com/a6506923008513278478/</w:t>
      </w:r>
    </w:p>
  </w:footnote>
  <w:footnote w:id="8">
    <w:p w14:paraId="2D8DFA7E" w14:textId="77777777" w:rsidR="00DD1E0B" w:rsidRDefault="00C924F2">
      <w:pPr>
        <w:pStyle w:val="afb"/>
      </w:pPr>
      <w:r>
        <w:rPr>
          <w:rStyle w:val="af9"/>
        </w:rPr>
        <w:footnoteRef/>
      </w:r>
      <w:r>
        <w:t xml:space="preserve"> </w:t>
      </w:r>
      <w:r>
        <w:rPr>
          <w:rFonts w:hint="eastAsia"/>
        </w:rPr>
        <w:t>KPMG 2017</w:t>
      </w:r>
      <w:r>
        <w:rPr>
          <w:rFonts w:hint="eastAsia"/>
        </w:rPr>
        <w:t>年</w:t>
      </w:r>
      <w:r>
        <w:t>2</w:t>
      </w:r>
      <w:r>
        <w:rPr>
          <w:rFonts w:hint="eastAsia"/>
        </w:rPr>
        <w:t>月报告</w:t>
      </w:r>
      <w:r>
        <w:t>https://home.kpmg.com/xx/en/home/insights/2018/02/highlights-of-the-2018-british-columbia</w:t>
      </w:r>
      <w:r>
        <w:t>-budget.html</w:t>
      </w:r>
    </w:p>
  </w:footnote>
  <w:footnote w:id="9">
    <w:p w14:paraId="3ACF8991" w14:textId="77777777" w:rsidR="00DD1E0B" w:rsidRDefault="00C924F2">
      <w:pPr>
        <w:pStyle w:val="afb"/>
      </w:pPr>
      <w:r>
        <w:rPr>
          <w:rStyle w:val="af9"/>
        </w:rPr>
        <w:footnoteRef/>
      </w:r>
      <w:r>
        <w:t xml:space="preserve"> </w:t>
      </w:r>
      <w:r>
        <w:rPr>
          <w:rFonts w:hint="eastAsia"/>
        </w:rPr>
        <w:t>KPMG 2017</w:t>
      </w:r>
      <w:r>
        <w:rPr>
          <w:rFonts w:hint="eastAsia"/>
        </w:rPr>
        <w:t>年</w:t>
      </w:r>
      <w:r>
        <w:t>2</w:t>
      </w:r>
      <w:r>
        <w:rPr>
          <w:rFonts w:hint="eastAsia"/>
        </w:rPr>
        <w:t>月报告</w:t>
      </w:r>
      <w:r>
        <w:t>https://assets.kpmg.com/content/dam/kpmg/ca/pdf/tnf/2018/ca-highlights-of-the-2018-british-columbia-budget.pdf</w:t>
      </w:r>
    </w:p>
  </w:footnote>
  <w:footnote w:id="10">
    <w:p w14:paraId="46DD58B1" w14:textId="77777777" w:rsidR="00DD1E0B" w:rsidRDefault="00C924F2">
      <w:pPr>
        <w:pStyle w:val="afb"/>
      </w:pPr>
      <w:r>
        <w:rPr>
          <w:rStyle w:val="af9"/>
        </w:rPr>
        <w:footnoteRef/>
      </w:r>
      <w:r>
        <w:t xml:space="preserve"> </w:t>
      </w:r>
      <w:r>
        <w:rPr>
          <w:rFonts w:hint="eastAsia"/>
        </w:rPr>
        <w:t>加拿大</w:t>
      </w:r>
      <w:r>
        <w:rPr>
          <w:rFonts w:hint="eastAsia"/>
        </w:rPr>
        <w:t>IMPACT</w:t>
      </w:r>
      <w:r>
        <w:rPr>
          <w:rFonts w:hint="eastAsia"/>
        </w:rPr>
        <w:t>会计师事务所：今日头条转载</w:t>
      </w:r>
      <w:r>
        <w:t>https://www.toutiao.com/a6506923008513278478/</w:t>
      </w:r>
    </w:p>
  </w:footnote>
  <w:footnote w:id="11">
    <w:p w14:paraId="34A0500C" w14:textId="77777777" w:rsidR="00DD1E0B" w:rsidRDefault="00C924F2">
      <w:pPr>
        <w:pStyle w:val="afb"/>
      </w:pPr>
      <w:r>
        <w:rPr>
          <w:rStyle w:val="af9"/>
        </w:rPr>
        <w:footnoteRef/>
      </w:r>
      <w:r>
        <w:rPr>
          <w:rFonts w:hint="eastAsia"/>
        </w:rPr>
        <w:t>搜狐财经</w:t>
      </w:r>
      <w:r>
        <w:t xml:space="preserve"> http://www.sohu.com/a/127043441_109358</w:t>
      </w:r>
    </w:p>
  </w:footnote>
  <w:footnote w:id="12">
    <w:p w14:paraId="052BBCB9" w14:textId="77777777" w:rsidR="00DD1E0B" w:rsidRDefault="00C924F2">
      <w:pPr>
        <w:pStyle w:val="afb"/>
      </w:pPr>
      <w:r>
        <w:rPr>
          <w:rStyle w:val="af9"/>
        </w:rPr>
        <w:footnoteRef/>
      </w:r>
      <w:r>
        <w:rPr>
          <w:rFonts w:hint="eastAsia"/>
        </w:rPr>
        <w:t>凤凰网财经</w:t>
      </w:r>
      <w:r>
        <w:t>http://finance.ifeng.com/a/20180223/15994109_0.shtml</w:t>
      </w:r>
    </w:p>
  </w:footnote>
  <w:footnote w:id="13">
    <w:p w14:paraId="79F3A8F2" w14:textId="77777777" w:rsidR="00DD1E0B" w:rsidRDefault="00C924F2">
      <w:pPr>
        <w:pStyle w:val="afb"/>
      </w:pPr>
      <w:r>
        <w:rPr>
          <w:rStyle w:val="af9"/>
        </w:rPr>
        <w:footnoteRef/>
      </w:r>
      <w:r>
        <w:rPr>
          <w:rFonts w:hint="eastAsia"/>
        </w:rPr>
        <w:t>凤凰网财经</w:t>
      </w:r>
      <w:r>
        <w:t xml:space="preserve"> http://finance.ifeng.com/a/20180223/15994109_0.shtml</w:t>
      </w:r>
    </w:p>
  </w:footnote>
  <w:footnote w:id="14">
    <w:p w14:paraId="13A53E68" w14:textId="77777777" w:rsidR="00DD1E0B" w:rsidRDefault="00C924F2">
      <w:pPr>
        <w:pStyle w:val="afb"/>
      </w:pPr>
      <w:r>
        <w:rPr>
          <w:rStyle w:val="af9"/>
        </w:rPr>
        <w:footnoteRef/>
      </w:r>
      <w:r>
        <w:t xml:space="preserve"> </w:t>
      </w:r>
      <w:r>
        <w:rPr>
          <w:rFonts w:cs="Times New Roman"/>
        </w:rPr>
        <w:t>KPMG 2017</w:t>
      </w:r>
      <w:r>
        <w:rPr>
          <w:rFonts w:cs="Times New Roman"/>
        </w:rPr>
        <w:t>年</w:t>
      </w:r>
      <w:r>
        <w:rPr>
          <w:rFonts w:cs="Times New Roman"/>
        </w:rPr>
        <w:t>2</w:t>
      </w:r>
      <w:r>
        <w:rPr>
          <w:rFonts w:cs="Times New Roman"/>
        </w:rPr>
        <w:t>月报告</w:t>
      </w:r>
      <w:r>
        <w:t>https://home.kpmg.com/xx/en/home/insights/2018/02/tnf-uruguay-tax-treatment-of-investment-project-assets-sold-before-end-of-useful-life.html</w:t>
      </w:r>
    </w:p>
  </w:footnote>
  <w:footnote w:id="15">
    <w:p w14:paraId="4557E43D" w14:textId="77777777" w:rsidR="00DD1E0B" w:rsidRDefault="00C924F2">
      <w:pPr>
        <w:pStyle w:val="afb"/>
      </w:pPr>
      <w:r>
        <w:rPr>
          <w:rStyle w:val="af9"/>
        </w:rPr>
        <w:footnoteRef/>
      </w:r>
      <w:r>
        <w:t xml:space="preserve"> </w:t>
      </w:r>
      <w:r>
        <w:rPr>
          <w:rFonts w:cs="Times New Roman"/>
        </w:rPr>
        <w:t>KPMG 2017</w:t>
      </w:r>
      <w:r>
        <w:rPr>
          <w:rFonts w:cs="Times New Roman"/>
        </w:rPr>
        <w:t>年</w:t>
      </w:r>
      <w:r>
        <w:rPr>
          <w:rFonts w:cs="Times New Roman"/>
        </w:rPr>
        <w:t>2</w:t>
      </w:r>
      <w:r>
        <w:rPr>
          <w:rFonts w:cs="Times New Roman"/>
        </w:rPr>
        <w:t>月报告</w:t>
      </w:r>
      <w:r>
        <w:t>https://assets.kpmg.com/content/dam/kpmg/uy/pdf/Monitor/MS_160218_N764.pdf</w:t>
      </w:r>
    </w:p>
  </w:footnote>
  <w:footnote w:id="16">
    <w:p w14:paraId="57DBC470" w14:textId="77777777" w:rsidR="00DD1E0B" w:rsidRDefault="00C924F2">
      <w:pPr>
        <w:pStyle w:val="afb"/>
      </w:pPr>
      <w:r>
        <w:rPr>
          <w:rStyle w:val="af9"/>
        </w:rPr>
        <w:footnoteRef/>
      </w:r>
      <w:r>
        <w:rPr>
          <w:rFonts w:hint="eastAsia"/>
        </w:rPr>
        <w:t>中华人民共和国驻乌拉圭东岸共和国大使馆经济商务</w:t>
      </w:r>
      <w:r>
        <w:rPr>
          <w:rFonts w:hint="eastAsia"/>
        </w:rPr>
        <w:t>参赞处</w:t>
      </w:r>
      <w:r>
        <w:t xml:space="preserve"> http://uy.mofcom.gov.cn/article/ztdy/200605/20060502096789.shtml</w:t>
      </w:r>
    </w:p>
  </w:footnote>
  <w:footnote w:id="17">
    <w:p w14:paraId="250BD315" w14:textId="77777777" w:rsidR="00DD1E0B" w:rsidRDefault="00C924F2">
      <w:pPr>
        <w:pStyle w:val="afb"/>
      </w:pPr>
      <w:r>
        <w:rPr>
          <w:rStyle w:val="af9"/>
        </w:rPr>
        <w:footnoteRef/>
      </w:r>
      <w:r>
        <w:t xml:space="preserve"> </w:t>
      </w:r>
      <w:r>
        <w:rPr>
          <w:rFonts w:hint="eastAsia"/>
        </w:rPr>
        <w:t xml:space="preserve">Diverted Profits Tax </w:t>
      </w:r>
      <w:r>
        <w:rPr>
          <w:rFonts w:hint="eastAsia"/>
        </w:rPr>
        <w:t>–</w:t>
      </w:r>
      <w:r>
        <w:rPr>
          <w:rFonts w:hint="eastAsia"/>
        </w:rPr>
        <w:t xml:space="preserve"> the PCG is no longer MIA | KPMG | GLOBAL</w:t>
      </w:r>
    </w:p>
    <w:p w14:paraId="51AD90AA" w14:textId="77777777" w:rsidR="00DD1E0B" w:rsidRDefault="00C924F2">
      <w:pPr>
        <w:pStyle w:val="afb"/>
      </w:pPr>
      <w:r>
        <w:rPr>
          <w:rFonts w:hint="eastAsia"/>
        </w:rPr>
        <w:t>https://home.kpmg.com/xx/en/home/insights/2018/02/draft-pcg-dpt-07-february-2018.html</w:t>
      </w:r>
    </w:p>
  </w:footnote>
  <w:footnote w:id="18">
    <w:p w14:paraId="0A93A0E7" w14:textId="77777777" w:rsidR="00DD1E0B" w:rsidRDefault="00C924F2">
      <w:pPr>
        <w:pStyle w:val="afb"/>
      </w:pPr>
      <w:r>
        <w:rPr>
          <w:rStyle w:val="af9"/>
        </w:rPr>
        <w:footnoteRef/>
      </w:r>
      <w:r>
        <w:t xml:space="preserve"> </w:t>
      </w:r>
      <w:r>
        <w:rPr>
          <w:rFonts w:hint="eastAsia"/>
        </w:rPr>
        <w:t>Australia Adds To Diverted Profit</w:t>
      </w:r>
      <w:r>
        <w:rPr>
          <w:rFonts w:hint="eastAsia"/>
        </w:rPr>
        <w:t>s Tax Guidance-TAXNEWS</w:t>
      </w:r>
    </w:p>
    <w:p w14:paraId="5C907AE8" w14:textId="77777777" w:rsidR="00DD1E0B" w:rsidRDefault="00C924F2">
      <w:pPr>
        <w:pStyle w:val="afb"/>
      </w:pPr>
      <w:r>
        <w:rPr>
          <w:rFonts w:hint="eastAsia"/>
        </w:rPr>
        <w:t>https://www.tax-news.com/news/Australia_Adds_To_Diverted_Profits_Tax_Guidance____76370.html</w:t>
      </w:r>
    </w:p>
  </w:footnote>
  <w:footnote w:id="19">
    <w:p w14:paraId="2DC810F1" w14:textId="77777777" w:rsidR="00DD1E0B" w:rsidRDefault="00C924F2">
      <w:pPr>
        <w:pStyle w:val="afb"/>
      </w:pPr>
      <w:r>
        <w:rPr>
          <w:rStyle w:val="af9"/>
        </w:rPr>
        <w:footnoteRef/>
      </w:r>
      <w:r>
        <w:t xml:space="preserve"> </w:t>
      </w:r>
      <w:r>
        <w:rPr>
          <w:rFonts w:hint="eastAsia"/>
        </w:rPr>
        <w:t xml:space="preserve">Diverted Profits Tax </w:t>
      </w:r>
      <w:r>
        <w:rPr>
          <w:rFonts w:hint="eastAsia"/>
        </w:rPr>
        <w:t>–</w:t>
      </w:r>
      <w:r>
        <w:rPr>
          <w:rFonts w:hint="eastAsia"/>
        </w:rPr>
        <w:t xml:space="preserve"> the PCG is no longer MIA | KPMG | GLOBAL</w:t>
      </w:r>
    </w:p>
    <w:p w14:paraId="6F3EAE49" w14:textId="77777777" w:rsidR="00DD1E0B" w:rsidRDefault="00C924F2">
      <w:pPr>
        <w:pStyle w:val="afb"/>
      </w:pPr>
      <w:r>
        <w:rPr>
          <w:rFonts w:hint="eastAsia"/>
        </w:rPr>
        <w:t>https://home.kpmg.com/xx/en/home/insights/2018/02/draft-pcg-dpt-07-february</w:t>
      </w:r>
      <w:r>
        <w:rPr>
          <w:rFonts w:hint="eastAsia"/>
        </w:rPr>
        <w:t>-2018.html</w:t>
      </w:r>
    </w:p>
  </w:footnote>
  <w:footnote w:id="20">
    <w:p w14:paraId="52B12453" w14:textId="77777777" w:rsidR="00DD1E0B" w:rsidRDefault="00C924F2">
      <w:pPr>
        <w:pStyle w:val="afb"/>
      </w:pPr>
      <w:r>
        <w:rPr>
          <w:rStyle w:val="af9"/>
        </w:rPr>
        <w:footnoteRef/>
      </w:r>
      <w:r>
        <w:t xml:space="preserve"> </w:t>
      </w:r>
      <w:r>
        <w:rPr>
          <w:rFonts w:hint="eastAsia"/>
        </w:rPr>
        <w:t>GST Withholding on Residential Premises | KPMG | GLOBAL</w:t>
      </w:r>
    </w:p>
    <w:p w14:paraId="70CB5D17" w14:textId="77777777" w:rsidR="00DD1E0B" w:rsidRDefault="00C924F2">
      <w:pPr>
        <w:pStyle w:val="afb"/>
      </w:pPr>
      <w:r>
        <w:rPr>
          <w:rFonts w:hint="eastAsia"/>
        </w:rPr>
        <w:t>https://home.kpmg.com/xx/en/home/insights/2018/02/gst-withholding-residential-premises-09-february-2018.html</w:t>
      </w:r>
    </w:p>
  </w:footnote>
  <w:footnote w:id="21">
    <w:p w14:paraId="44BF2C7F" w14:textId="77777777" w:rsidR="00DD1E0B" w:rsidRDefault="00C924F2">
      <w:pPr>
        <w:pStyle w:val="afb"/>
      </w:pPr>
      <w:r>
        <w:rPr>
          <w:rStyle w:val="af9"/>
        </w:rPr>
        <w:footnoteRef/>
      </w:r>
      <w:r>
        <w:t xml:space="preserve"> </w:t>
      </w:r>
      <w:r>
        <w:rPr>
          <w:rFonts w:hint="eastAsia"/>
        </w:rPr>
        <w:t>澳大利亚的税收制度</w:t>
      </w:r>
      <w:r>
        <w:rPr>
          <w:rFonts w:hint="eastAsia"/>
        </w:rPr>
        <w:t>,https://yimin.liuxue86.com/y/2646007.html</w:t>
      </w:r>
    </w:p>
  </w:footnote>
  <w:footnote w:id="22">
    <w:p w14:paraId="4DD916B7" w14:textId="77777777" w:rsidR="00DD1E0B" w:rsidRDefault="00C924F2">
      <w:pPr>
        <w:pStyle w:val="afb"/>
      </w:pPr>
      <w:r>
        <w:rPr>
          <w:rStyle w:val="af9"/>
        </w:rPr>
        <w:footnoteRef/>
      </w:r>
      <w:r>
        <w:t xml:space="preserve"> </w:t>
      </w:r>
      <w:r>
        <w:rPr>
          <w:rFonts w:hint="eastAsia"/>
        </w:rPr>
        <w:t>LCR 2015/3 | Legal database</w:t>
      </w:r>
    </w:p>
    <w:p w14:paraId="1C495063" w14:textId="77777777" w:rsidR="00DD1E0B" w:rsidRDefault="00C924F2">
      <w:pPr>
        <w:pStyle w:val="afb"/>
      </w:pPr>
      <w:r>
        <w:rPr>
          <w:rFonts w:hint="eastAsia"/>
        </w:rPr>
        <w:t>https://www.ato.gov.au/law/view/document?DocID=COG/LCG20153/NAT/ATO/00001&amp;PiT=99991231235958#P1</w:t>
      </w:r>
    </w:p>
  </w:footnote>
  <w:footnote w:id="23">
    <w:p w14:paraId="439D9AA4" w14:textId="77777777" w:rsidR="00DD1E0B" w:rsidRDefault="00C924F2">
      <w:pPr>
        <w:pStyle w:val="afb"/>
      </w:pPr>
      <w:r>
        <w:rPr>
          <w:rStyle w:val="af9"/>
        </w:rPr>
        <w:footnoteRef/>
      </w:r>
      <w:r>
        <w:t xml:space="preserve"> </w:t>
      </w:r>
      <w:r>
        <w:rPr>
          <w:rFonts w:hint="eastAsia"/>
        </w:rPr>
        <w:t>Country-by-Country reporting | Australian Taxation Office</w:t>
      </w:r>
    </w:p>
    <w:p w14:paraId="104253A8" w14:textId="77777777" w:rsidR="00DD1E0B" w:rsidRDefault="00C924F2">
      <w:pPr>
        <w:pStyle w:val="afb"/>
      </w:pPr>
      <w:r>
        <w:rPr>
          <w:rFonts w:hint="eastAsia"/>
        </w:rPr>
        <w:t>https://www.ato.gov.au/Business/International-tax-for-business/In-detail/Transfer-pricing/country-by</w:t>
      </w:r>
      <w:r>
        <w:rPr>
          <w:rFonts w:hint="eastAsia"/>
        </w:rPr>
        <w:t>-country-reporting/</w:t>
      </w:r>
    </w:p>
  </w:footnote>
  <w:footnote w:id="24">
    <w:p w14:paraId="5B9011D9" w14:textId="77777777" w:rsidR="00DD1E0B" w:rsidRDefault="00C924F2">
      <w:pPr>
        <w:pStyle w:val="afb"/>
      </w:pPr>
      <w:r>
        <w:rPr>
          <w:rStyle w:val="af9"/>
        </w:rPr>
        <w:footnoteRef/>
      </w:r>
      <w:r>
        <w:t xml:space="preserve"> </w:t>
      </w:r>
      <w:r>
        <w:rPr>
          <w:rFonts w:hint="eastAsia"/>
        </w:rPr>
        <w:t>KPMG</w:t>
      </w:r>
      <w:r>
        <w:rPr>
          <w:rFonts w:hint="eastAsia"/>
        </w:rPr>
        <w:t>专栏：</w:t>
      </w:r>
      <w:r>
        <w:rPr>
          <w:rFonts w:hint="eastAsia"/>
        </w:rPr>
        <w:t>KPMG</w:t>
      </w:r>
      <w:r>
        <w:rPr>
          <w:rFonts w:hint="eastAsia"/>
        </w:rPr>
        <w:t>澳大利亚</w:t>
      </w:r>
      <w:r>
        <w:rPr>
          <w:rFonts w:hint="eastAsia"/>
        </w:rPr>
        <w:t>|</w:t>
      </w:r>
      <w:r>
        <w:rPr>
          <w:rFonts w:hint="eastAsia"/>
        </w:rPr>
        <w:t>澳洲转让定价税制概要</w:t>
      </w:r>
      <w:r>
        <w:rPr>
          <w:rFonts w:hint="eastAsia"/>
        </w:rPr>
        <w:t>-</w:t>
      </w:r>
      <w:r>
        <w:rPr>
          <w:rFonts w:hint="eastAsia"/>
        </w:rPr>
        <w:t>澳洲财经网</w:t>
      </w:r>
    </w:p>
    <w:p w14:paraId="4109860D" w14:textId="77777777" w:rsidR="00DD1E0B" w:rsidRDefault="00C924F2">
      <w:pPr>
        <w:pStyle w:val="afb"/>
      </w:pPr>
      <w:r>
        <w:rPr>
          <w:rFonts w:hint="eastAsia"/>
        </w:rPr>
        <w:t>http://www.baomoney.com.au/kpmg/103856.jhtml</w:t>
      </w:r>
    </w:p>
  </w:footnote>
  <w:footnote w:id="25">
    <w:p w14:paraId="256880DC" w14:textId="77777777" w:rsidR="00DD1E0B" w:rsidRDefault="00C924F2">
      <w:pPr>
        <w:pStyle w:val="afb"/>
      </w:pPr>
      <w:r>
        <w:rPr>
          <w:rStyle w:val="af9"/>
        </w:rPr>
        <w:footnoteRef/>
      </w:r>
      <w:r>
        <w:t xml:space="preserve"> </w:t>
      </w:r>
      <w:r>
        <w:rPr>
          <w:rFonts w:hint="eastAsia"/>
        </w:rPr>
        <w:t>Philippines Senate Approves Double Taxation Treaties-TAXNEWS</w:t>
      </w:r>
    </w:p>
    <w:p w14:paraId="35242D1F" w14:textId="77777777" w:rsidR="00DD1E0B" w:rsidRDefault="00C924F2">
      <w:pPr>
        <w:pStyle w:val="afb"/>
      </w:pPr>
      <w:r>
        <w:rPr>
          <w:rFonts w:hint="eastAsia"/>
        </w:rPr>
        <w:t>https://www.tax-news.com/news/Philippines_Senate_Approves_Double_Taxation_Treaties_____76423.</w:t>
      </w:r>
      <w:r>
        <w:rPr>
          <w:rFonts w:hint="eastAsia"/>
        </w:rPr>
        <w:t>html</w:t>
      </w:r>
    </w:p>
  </w:footnote>
  <w:footnote w:id="26">
    <w:p w14:paraId="47E3D6C0" w14:textId="77777777" w:rsidR="00DD1E0B" w:rsidRDefault="00C924F2">
      <w:pPr>
        <w:pStyle w:val="afb"/>
      </w:pPr>
      <w:r>
        <w:rPr>
          <w:rStyle w:val="af9"/>
        </w:rPr>
        <w:footnoteRef/>
      </w:r>
      <w:r>
        <w:t xml:space="preserve"> </w:t>
      </w:r>
      <w:r>
        <w:rPr>
          <w:rFonts w:hint="eastAsia"/>
        </w:rPr>
        <w:t>柬埔寨国会将通过四国《避免双重征税协定》</w:t>
      </w:r>
      <w:r>
        <w:rPr>
          <w:rFonts w:hint="eastAsia"/>
        </w:rPr>
        <w:t>-</w:t>
      </w:r>
      <w:r>
        <w:rPr>
          <w:rFonts w:hint="eastAsia"/>
        </w:rPr>
        <w:t>中国贸促会</w:t>
      </w:r>
    </w:p>
    <w:p w14:paraId="0AB27173" w14:textId="77777777" w:rsidR="00DD1E0B" w:rsidRDefault="00C924F2">
      <w:pPr>
        <w:pStyle w:val="afb"/>
      </w:pPr>
      <w:r>
        <w:rPr>
          <w:rFonts w:hint="eastAsia"/>
        </w:rPr>
        <w:t>http://www.ccpit.org/Contents/Channel_4117/2017/1101/905774/content_905774.htm</w:t>
      </w:r>
    </w:p>
  </w:footnote>
  <w:footnote w:id="27">
    <w:p w14:paraId="7AB6F941" w14:textId="77777777" w:rsidR="00DD1E0B" w:rsidRDefault="00C924F2">
      <w:pPr>
        <w:pStyle w:val="afb"/>
      </w:pPr>
      <w:r>
        <w:rPr>
          <w:rStyle w:val="af9"/>
        </w:rPr>
        <w:footnoteRef/>
      </w:r>
      <w:r>
        <w:t xml:space="preserve"> </w:t>
      </w:r>
      <w:r>
        <w:rPr>
          <w:rFonts w:hint="eastAsia"/>
        </w:rPr>
        <w:t>泰国的电子商务市场预计到</w:t>
      </w:r>
      <w:r>
        <w:rPr>
          <w:rFonts w:hint="eastAsia"/>
        </w:rPr>
        <w:t>2020</w:t>
      </w:r>
      <w:r>
        <w:rPr>
          <w:rFonts w:hint="eastAsia"/>
        </w:rPr>
        <w:t>年能达到</w:t>
      </w:r>
      <w:r>
        <w:rPr>
          <w:rFonts w:hint="eastAsia"/>
        </w:rPr>
        <w:t>5.6</w:t>
      </w:r>
      <w:r>
        <w:rPr>
          <w:rFonts w:hint="eastAsia"/>
        </w:rPr>
        <w:t>兆铢</w:t>
      </w:r>
      <w:r>
        <w:rPr>
          <w:rFonts w:hint="eastAsia"/>
        </w:rPr>
        <w:t>,http://www.tai-visa.com/index.php?id=68</w:t>
      </w:r>
    </w:p>
  </w:footnote>
  <w:footnote w:id="28">
    <w:p w14:paraId="58852075" w14:textId="77777777" w:rsidR="00DD1E0B" w:rsidRDefault="00C924F2">
      <w:pPr>
        <w:pStyle w:val="afb"/>
      </w:pPr>
      <w:r>
        <w:rPr>
          <w:rStyle w:val="af9"/>
        </w:rPr>
        <w:footnoteRef/>
      </w:r>
      <w:r>
        <w:t xml:space="preserve"> </w:t>
      </w:r>
      <w:r>
        <w:rPr>
          <w:rFonts w:hint="eastAsia"/>
        </w:rPr>
        <w:t>利好：泰国政府大力推进电子商务税法修订</w:t>
      </w:r>
      <w:r>
        <w:rPr>
          <w:rFonts w:hint="eastAsia"/>
        </w:rPr>
        <w:t>,http://www.tai-visa.com/index.php?id=63</w:t>
      </w:r>
    </w:p>
  </w:footnote>
  <w:footnote w:id="29">
    <w:p w14:paraId="063B0D70" w14:textId="77777777" w:rsidR="00DD1E0B" w:rsidRDefault="00C924F2">
      <w:pPr>
        <w:pStyle w:val="afb"/>
      </w:pPr>
      <w:r>
        <w:rPr>
          <w:rStyle w:val="af9"/>
        </w:rPr>
        <w:footnoteRef/>
      </w:r>
      <w:r>
        <w:t xml:space="preserve"> </w:t>
      </w:r>
      <w:r>
        <w:rPr>
          <w:rFonts w:hint="eastAsia"/>
        </w:rPr>
        <w:t xml:space="preserve">IRAS e-Tax </w:t>
      </w:r>
      <w:r>
        <w:rPr>
          <w:rFonts w:hint="eastAsia"/>
        </w:rPr>
        <w:t>Guide. Transfer Pricing Guidelines (Fifth Edition),</w:t>
      </w:r>
    </w:p>
    <w:p w14:paraId="227F2881" w14:textId="77777777" w:rsidR="00DD1E0B" w:rsidRDefault="00C924F2">
      <w:pPr>
        <w:pStyle w:val="afb"/>
      </w:pPr>
      <w:r>
        <w:rPr>
          <w:rFonts w:hint="eastAsia"/>
        </w:rPr>
        <w:t>https://www.iras.gov.sg/irashome/uploadedFiles/IRASHome/e-Tax_Guides/etaxguide_Income%20Tax_Transfer%20Pricing%20Guidelines_5th.pdf</w:t>
      </w:r>
    </w:p>
  </w:footnote>
  <w:footnote w:id="30">
    <w:p w14:paraId="034193CA" w14:textId="77777777" w:rsidR="00DD1E0B" w:rsidRDefault="00C924F2">
      <w:pPr>
        <w:pStyle w:val="afb"/>
      </w:pPr>
      <w:r>
        <w:rPr>
          <w:rStyle w:val="af9"/>
        </w:rPr>
        <w:footnoteRef/>
      </w:r>
      <w:r>
        <w:t xml:space="preserve"> </w:t>
      </w:r>
      <w:r>
        <w:rPr>
          <w:rFonts w:hint="eastAsia"/>
        </w:rPr>
        <w:t>新加坡国内收入局发布修订的转让定价指南</w:t>
      </w:r>
      <w:r>
        <w:rPr>
          <w:rFonts w:hint="eastAsia"/>
        </w:rPr>
        <w:t>,</w:t>
      </w:r>
    </w:p>
    <w:p w14:paraId="05CF6555" w14:textId="77777777" w:rsidR="00DD1E0B" w:rsidRDefault="00C924F2">
      <w:pPr>
        <w:pStyle w:val="afb"/>
      </w:pPr>
      <w:r>
        <w:rPr>
          <w:rFonts w:hint="eastAsia"/>
        </w:rPr>
        <w:t>http://blog.sina.com.cn/s/blog_91e279e90102vd0v.h</w:t>
      </w:r>
      <w:r>
        <w:rPr>
          <w:rFonts w:hint="eastAsia"/>
        </w:rPr>
        <w:t>tml</w:t>
      </w:r>
    </w:p>
  </w:footnote>
  <w:footnote w:id="31">
    <w:p w14:paraId="006F2329" w14:textId="77777777" w:rsidR="00DD1E0B" w:rsidRDefault="00C924F2">
      <w:pPr>
        <w:pStyle w:val="afb"/>
      </w:pPr>
      <w:r>
        <w:rPr>
          <w:rStyle w:val="af9"/>
        </w:rPr>
        <w:footnoteRef/>
      </w:r>
      <w:r>
        <w:t xml:space="preserve"> </w:t>
      </w:r>
      <w:r>
        <w:rPr>
          <w:rFonts w:hint="eastAsia"/>
        </w:rPr>
        <w:t>转让定价税制的国际比较与借鉴</w:t>
      </w:r>
      <w:r>
        <w:rPr>
          <w:rFonts w:hint="eastAsia"/>
        </w:rPr>
        <w:t>,https://www.gaodun.com/guoshui/632390.html</w:t>
      </w:r>
    </w:p>
  </w:footnote>
  <w:footnote w:id="32">
    <w:p w14:paraId="42A4859F" w14:textId="77777777" w:rsidR="00DD1E0B" w:rsidRDefault="00C924F2">
      <w:pPr>
        <w:pStyle w:val="afb"/>
      </w:pPr>
      <w:r>
        <w:rPr>
          <w:rStyle w:val="af9"/>
        </w:rPr>
        <w:footnoteRef/>
      </w:r>
      <w:r>
        <w:t xml:space="preserve"> </w:t>
      </w:r>
      <w:r>
        <w:rPr>
          <w:rFonts w:hint="eastAsia"/>
        </w:rPr>
        <w:t>Singapore: Possible tax measures in budget for 2018 | KPMG | GLOBAL</w:t>
      </w:r>
    </w:p>
    <w:p w14:paraId="3CA6F604" w14:textId="77777777" w:rsidR="00DD1E0B" w:rsidRDefault="00C924F2">
      <w:pPr>
        <w:pStyle w:val="afb"/>
      </w:pPr>
      <w:r>
        <w:rPr>
          <w:rFonts w:hint="eastAsia"/>
        </w:rPr>
        <w:t>https://home.kpmg.com/xx/en/home/insights/2018/02/tnf-singapore-possible-tax-measures-in-budget-for-2018.html</w:t>
      </w:r>
    </w:p>
  </w:footnote>
  <w:footnote w:id="33">
    <w:p w14:paraId="6C38B9EA" w14:textId="77777777" w:rsidR="00DD1E0B" w:rsidRDefault="00C924F2">
      <w:pPr>
        <w:pStyle w:val="afb"/>
      </w:pPr>
      <w:r>
        <w:rPr>
          <w:rStyle w:val="af9"/>
        </w:rPr>
        <w:footnoteRef/>
      </w:r>
      <w:r>
        <w:t xml:space="preserve"> </w:t>
      </w:r>
      <w:r>
        <w:rPr>
          <w:rFonts w:hint="eastAsia"/>
        </w:rPr>
        <w:t>炸锅！新加坡</w:t>
      </w:r>
      <w:r>
        <w:rPr>
          <w:rFonts w:hint="eastAsia"/>
        </w:rPr>
        <w:t>2018</w:t>
      </w:r>
      <w:r>
        <w:rPr>
          <w:rFonts w:hint="eastAsia"/>
        </w:rPr>
        <w:t>预算案：各种税收涨涨涨</w:t>
      </w:r>
      <w:r>
        <w:rPr>
          <w:rFonts w:hint="eastAsia"/>
        </w:rPr>
        <w:t>,https://www.toutiao.com/a6524439798403301891/</w:t>
      </w:r>
    </w:p>
  </w:footnote>
  <w:footnote w:id="34">
    <w:p w14:paraId="57412444" w14:textId="77777777" w:rsidR="00DD1E0B" w:rsidRDefault="00C924F2">
      <w:pPr>
        <w:pStyle w:val="afb"/>
      </w:pPr>
      <w:r>
        <w:rPr>
          <w:rStyle w:val="af9"/>
        </w:rPr>
        <w:footnoteRef/>
      </w:r>
      <w:r>
        <w:t xml:space="preserve"> </w:t>
      </w:r>
      <w:r>
        <w:rPr>
          <w:rFonts w:hint="eastAsia"/>
        </w:rPr>
        <w:t>新加坡</w:t>
      </w:r>
      <w:r>
        <w:rPr>
          <w:rFonts w:hint="eastAsia"/>
        </w:rPr>
        <w:t>2018</w:t>
      </w:r>
      <w:r>
        <w:rPr>
          <w:rFonts w:hint="eastAsia"/>
        </w:rPr>
        <w:t>财年预计整体预算赤字达</w:t>
      </w:r>
      <w:r>
        <w:rPr>
          <w:rFonts w:hint="eastAsia"/>
        </w:rPr>
        <w:t>6</w:t>
      </w:r>
      <w:r>
        <w:rPr>
          <w:rFonts w:hint="eastAsia"/>
        </w:rPr>
        <w:t>亿新元</w:t>
      </w:r>
      <w:r>
        <w:rPr>
          <w:rFonts w:hint="eastAsia"/>
        </w:rPr>
        <w:t>-MalayTV Forum</w:t>
      </w:r>
    </w:p>
    <w:p w14:paraId="79193205" w14:textId="77777777" w:rsidR="00DD1E0B" w:rsidRDefault="00C924F2">
      <w:pPr>
        <w:pStyle w:val="afb"/>
      </w:pPr>
      <w:r>
        <w:rPr>
          <w:rFonts w:hint="eastAsia"/>
        </w:rPr>
        <w:t>http://bbs.malay.tv/thread-66204-1-1.html</w:t>
      </w:r>
    </w:p>
  </w:footnote>
  <w:footnote w:id="35">
    <w:p w14:paraId="56A0EA8B" w14:textId="77777777" w:rsidR="00DD1E0B" w:rsidRDefault="00C924F2">
      <w:pPr>
        <w:pStyle w:val="afb"/>
      </w:pPr>
      <w:r>
        <w:rPr>
          <w:rStyle w:val="af9"/>
        </w:rPr>
        <w:footnoteRef/>
      </w:r>
      <w:r>
        <w:t xml:space="preserve"> </w:t>
      </w:r>
      <w:r>
        <w:rPr>
          <w:rFonts w:hint="eastAsia"/>
        </w:rPr>
        <w:t>bs.pdf,http://www.indiabudget.gov.in/ub2018-19/bs/bs.pdf</w:t>
      </w:r>
    </w:p>
  </w:footnote>
  <w:footnote w:id="36">
    <w:p w14:paraId="7652B2BB" w14:textId="77777777" w:rsidR="00DD1E0B" w:rsidRDefault="00C924F2">
      <w:pPr>
        <w:pStyle w:val="afb"/>
      </w:pPr>
      <w:r>
        <w:rPr>
          <w:rStyle w:val="af9"/>
        </w:rPr>
        <w:footnoteRef/>
      </w:r>
      <w:r>
        <w:t xml:space="preserve"> </w:t>
      </w:r>
      <w:r>
        <w:rPr>
          <w:rFonts w:hint="eastAsia"/>
        </w:rPr>
        <w:t>bs.pdf,http://www.indiabudget.gov.in/ub2018-19/bs/bs.pdf</w:t>
      </w:r>
    </w:p>
  </w:footnote>
  <w:footnote w:id="37">
    <w:p w14:paraId="5D9FA0C6" w14:textId="77777777" w:rsidR="00DD1E0B" w:rsidRDefault="00C924F2">
      <w:pPr>
        <w:pStyle w:val="afb"/>
      </w:pPr>
      <w:r>
        <w:rPr>
          <w:rStyle w:val="af9"/>
        </w:rPr>
        <w:footnoteRef/>
      </w:r>
      <w:r>
        <w:t xml:space="preserve"> </w:t>
      </w:r>
      <w:r>
        <w:rPr>
          <w:rFonts w:hint="eastAsia"/>
        </w:rPr>
        <w:t>Hong Kong 2018-2019 budget | KPMG | GLOBAL</w:t>
      </w:r>
    </w:p>
    <w:p w14:paraId="4FE7BB0C" w14:textId="77777777" w:rsidR="00DD1E0B" w:rsidRDefault="00C924F2">
      <w:pPr>
        <w:pStyle w:val="afb"/>
      </w:pPr>
      <w:r>
        <w:rPr>
          <w:rFonts w:hint="eastAsia"/>
        </w:rPr>
        <w:t>https://home.kpmg.com/xx/en/home/insights/2018/02/tnf-hong-kong-2018-2019-budget.html</w:t>
      </w:r>
    </w:p>
  </w:footnote>
  <w:footnote w:id="38">
    <w:p w14:paraId="07FFA383" w14:textId="77777777" w:rsidR="00DD1E0B" w:rsidRDefault="00C924F2">
      <w:pPr>
        <w:pStyle w:val="af0"/>
        <w:ind w:firstLineChars="0" w:firstLine="0"/>
      </w:pPr>
      <w:r>
        <w:rPr>
          <w:rStyle w:val="af9"/>
        </w:rPr>
        <w:footnoteRef/>
      </w:r>
      <w:r>
        <w:t xml:space="preserve"> </w:t>
      </w:r>
      <w:r>
        <w:rPr>
          <w:rFonts w:hint="eastAsia"/>
        </w:rPr>
        <w:t>香港</w:t>
      </w:r>
      <w:r>
        <w:rPr>
          <w:rFonts w:hint="eastAsia"/>
        </w:rPr>
        <w:t>法团</w:t>
      </w:r>
      <w:r>
        <w:rPr>
          <w:rFonts w:hint="eastAsia"/>
        </w:rPr>
        <w:t>指提交公司注册证明书后的实体，</w:t>
      </w:r>
      <w:r>
        <w:rPr>
          <w:rFonts w:hint="eastAsia"/>
        </w:rPr>
        <w:t>受到一定的香港法例约束</w:t>
      </w:r>
    </w:p>
  </w:footnote>
  <w:footnote w:id="39">
    <w:p w14:paraId="75309E7F" w14:textId="77777777" w:rsidR="00DD1E0B" w:rsidRDefault="00C924F2">
      <w:pPr>
        <w:pStyle w:val="afb"/>
      </w:pPr>
      <w:r>
        <w:rPr>
          <w:rStyle w:val="af9"/>
        </w:rPr>
        <w:footnoteRef/>
      </w:r>
      <w:r>
        <w:t xml:space="preserve"> </w:t>
      </w:r>
      <w:r>
        <w:rPr>
          <w:rFonts w:hint="eastAsia"/>
        </w:rPr>
        <w:t>香港</w:t>
      </w:r>
      <w:r>
        <w:rPr>
          <w:rFonts w:hint="eastAsia"/>
        </w:rPr>
        <w:t>2018</w:t>
      </w:r>
      <w:r>
        <w:rPr>
          <w:rFonts w:hint="eastAsia"/>
        </w:rPr>
        <w:t>财政预算案解读</w:t>
      </w:r>
      <w:r>
        <w:rPr>
          <w:rFonts w:hint="eastAsia"/>
        </w:rPr>
        <w:t>-</w:t>
      </w:r>
      <w:r>
        <w:rPr>
          <w:rFonts w:hint="eastAsia"/>
        </w:rPr>
        <w:t>搜狐财经</w:t>
      </w:r>
      <w:r>
        <w:rPr>
          <w:rFonts w:hint="eastAsia"/>
        </w:rPr>
        <w:t>,http://www.sohu.com/a/224744485_100094558</w:t>
      </w:r>
    </w:p>
  </w:footnote>
  <w:footnote w:id="40">
    <w:p w14:paraId="653D5A08" w14:textId="77777777" w:rsidR="00DD1E0B" w:rsidRDefault="00C924F2">
      <w:pPr>
        <w:pStyle w:val="afb"/>
      </w:pPr>
      <w:r>
        <w:rPr>
          <w:rStyle w:val="af9"/>
        </w:rPr>
        <w:footnoteRef/>
      </w:r>
      <w:r>
        <w:t xml:space="preserve"> </w:t>
      </w:r>
      <w:r>
        <w:rPr>
          <w:rFonts w:hint="eastAsia"/>
        </w:rPr>
        <w:t>香港公布</w:t>
      </w:r>
      <w:r>
        <w:rPr>
          <w:rFonts w:hint="eastAsia"/>
        </w:rPr>
        <w:t>2018</w:t>
      </w:r>
      <w:r>
        <w:rPr>
          <w:rFonts w:hint="eastAsia"/>
        </w:rPr>
        <w:t>至</w:t>
      </w:r>
      <w:r>
        <w:rPr>
          <w:rFonts w:hint="eastAsia"/>
        </w:rPr>
        <w:t>2019</w:t>
      </w:r>
      <w:r>
        <w:rPr>
          <w:rFonts w:hint="eastAsia"/>
        </w:rPr>
        <w:t>年度财政预算案</w:t>
      </w:r>
      <w:r>
        <w:rPr>
          <w:rFonts w:hint="eastAsia"/>
        </w:rPr>
        <w:t>-</w:t>
      </w:r>
      <w:r>
        <w:rPr>
          <w:rFonts w:hint="eastAsia"/>
        </w:rPr>
        <w:t>中证网</w:t>
      </w:r>
      <w:r>
        <w:rPr>
          <w:rFonts w:hint="eastAsia"/>
        </w:rPr>
        <w:t>,</w:t>
      </w:r>
    </w:p>
    <w:p w14:paraId="7DB3D452" w14:textId="77777777" w:rsidR="00DD1E0B" w:rsidRDefault="00C924F2">
      <w:pPr>
        <w:pStyle w:val="afb"/>
      </w:pPr>
      <w:r>
        <w:rPr>
          <w:rFonts w:hint="eastAsia"/>
        </w:rPr>
        <w:t>http://www.cs.com.cn/gg/201803/t20180301_5725448.html</w:t>
      </w:r>
    </w:p>
  </w:footnote>
  <w:footnote w:id="41">
    <w:p w14:paraId="76E551CF" w14:textId="77777777" w:rsidR="00DD1E0B" w:rsidRDefault="00C924F2">
      <w:pPr>
        <w:pStyle w:val="afb"/>
      </w:pPr>
      <w:r>
        <w:rPr>
          <w:rStyle w:val="af9"/>
        </w:rPr>
        <w:footnoteRef/>
      </w:r>
      <w:r>
        <w:t xml:space="preserve"> </w:t>
      </w:r>
      <w:r>
        <w:rPr>
          <w:rFonts w:hint="eastAsia"/>
        </w:rPr>
        <w:t>关于税收协定执行若干问题的公告</w:t>
      </w:r>
      <w:r>
        <w:rPr>
          <w:rFonts w:hint="eastAsia"/>
        </w:rPr>
        <w:t>-</w:t>
      </w:r>
      <w:r>
        <w:rPr>
          <w:rFonts w:hint="eastAsia"/>
        </w:rPr>
        <w:t>国家税务局</w:t>
      </w:r>
    </w:p>
    <w:p w14:paraId="56807480" w14:textId="77777777" w:rsidR="00DD1E0B" w:rsidRDefault="00C924F2">
      <w:pPr>
        <w:pStyle w:val="afb"/>
      </w:pPr>
      <w:r>
        <w:rPr>
          <w:rFonts w:hint="eastAsia"/>
        </w:rPr>
        <w:t>http://www.chinatax.gov.cn/n810341/n810755/c3285782/content.html</w:t>
      </w:r>
    </w:p>
  </w:footnote>
  <w:footnote w:id="42">
    <w:p w14:paraId="1902278C" w14:textId="77777777" w:rsidR="00DD1E0B" w:rsidRDefault="00C924F2">
      <w:pPr>
        <w:pStyle w:val="afb"/>
      </w:pPr>
      <w:r>
        <w:rPr>
          <w:rStyle w:val="af9"/>
        </w:rPr>
        <w:footnoteRef/>
      </w:r>
      <w:r>
        <w:t xml:space="preserve"> </w:t>
      </w:r>
      <w:r>
        <w:rPr>
          <w:rFonts w:hint="eastAsia"/>
        </w:rPr>
        <w:t>2017</w:t>
      </w:r>
      <w:r>
        <w:rPr>
          <w:rFonts w:hint="eastAsia"/>
        </w:rPr>
        <w:t>年我国公布税收违法黑名单超</w:t>
      </w:r>
      <w:r>
        <w:rPr>
          <w:rFonts w:hint="eastAsia"/>
        </w:rPr>
        <w:t>4000</w:t>
      </w:r>
      <w:r>
        <w:rPr>
          <w:rFonts w:hint="eastAsia"/>
        </w:rPr>
        <w:t>件</w:t>
      </w:r>
    </w:p>
    <w:p w14:paraId="02B3DF8F" w14:textId="77777777" w:rsidR="00DD1E0B" w:rsidRDefault="00C924F2">
      <w:pPr>
        <w:pStyle w:val="afb"/>
      </w:pPr>
      <w:r>
        <w:rPr>
          <w:rFonts w:hint="eastAsia"/>
        </w:rPr>
        <w:t>http://www.gz-l-tax.gov.cn/xwzx/mtsy/201802/t20180224_2286289.html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581C16" w14:textId="77777777" w:rsidR="00DD1E0B" w:rsidRDefault="00DD1E0B">
    <w:pPr>
      <w:pStyle w:val="ac"/>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46CE40" w14:textId="77777777" w:rsidR="00DD1E0B" w:rsidRDefault="00DD1E0B">
    <w:pPr>
      <w:pStyle w:val="ac"/>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95AF4C" w14:textId="77777777" w:rsidR="00DD1E0B" w:rsidRDefault="00DD1E0B">
    <w:pPr>
      <w:pStyle w:val="ac"/>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E2944"/>
    <w:multiLevelType w:val="multilevel"/>
    <w:tmpl w:val="00BE2944"/>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1" w15:restartNumberingAfterBreak="0">
    <w:nsid w:val="0A3245FC"/>
    <w:multiLevelType w:val="multilevel"/>
    <w:tmpl w:val="0A3245FC"/>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2" w15:restartNumberingAfterBreak="0">
    <w:nsid w:val="1F8A20DD"/>
    <w:multiLevelType w:val="multilevel"/>
    <w:tmpl w:val="1F8A20DD"/>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3" w15:restartNumberingAfterBreak="0">
    <w:nsid w:val="2D721C72"/>
    <w:multiLevelType w:val="multilevel"/>
    <w:tmpl w:val="2D721C72"/>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4" w15:restartNumberingAfterBreak="0">
    <w:nsid w:val="2D8207D8"/>
    <w:multiLevelType w:val="multilevel"/>
    <w:tmpl w:val="2D8207D8"/>
    <w:lvl w:ilvl="0">
      <w:start w:val="1"/>
      <w:numFmt w:val="bullet"/>
      <w:lvlText w:val=""/>
      <w:lvlJc w:val="left"/>
      <w:pPr>
        <w:ind w:left="132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5" w15:restartNumberingAfterBreak="0">
    <w:nsid w:val="2E02424D"/>
    <w:multiLevelType w:val="multilevel"/>
    <w:tmpl w:val="2E02424D"/>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6" w15:restartNumberingAfterBreak="0">
    <w:nsid w:val="38F12585"/>
    <w:multiLevelType w:val="multilevel"/>
    <w:tmpl w:val="38F12585"/>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7" w15:restartNumberingAfterBreak="0">
    <w:nsid w:val="3B3810CA"/>
    <w:multiLevelType w:val="multilevel"/>
    <w:tmpl w:val="3B3810CA"/>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8" w15:restartNumberingAfterBreak="0">
    <w:nsid w:val="48146A2A"/>
    <w:multiLevelType w:val="multilevel"/>
    <w:tmpl w:val="48146A2A"/>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9" w15:restartNumberingAfterBreak="0">
    <w:nsid w:val="5D5665AE"/>
    <w:multiLevelType w:val="multilevel"/>
    <w:tmpl w:val="5D5665AE"/>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10" w15:restartNumberingAfterBreak="0">
    <w:nsid w:val="6FE86CD0"/>
    <w:multiLevelType w:val="multilevel"/>
    <w:tmpl w:val="6FE86CD0"/>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11" w15:restartNumberingAfterBreak="0">
    <w:nsid w:val="74CB4F58"/>
    <w:multiLevelType w:val="multilevel"/>
    <w:tmpl w:val="74CB4F58"/>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num w:numId="1">
    <w:abstractNumId w:val="5"/>
  </w:num>
  <w:num w:numId="2">
    <w:abstractNumId w:val="0"/>
  </w:num>
  <w:num w:numId="3">
    <w:abstractNumId w:val="7"/>
  </w:num>
  <w:num w:numId="4">
    <w:abstractNumId w:val="3"/>
  </w:num>
  <w:num w:numId="5">
    <w:abstractNumId w:val="10"/>
  </w:num>
  <w:num w:numId="6">
    <w:abstractNumId w:val="4"/>
  </w:num>
  <w:num w:numId="7">
    <w:abstractNumId w:val="8"/>
  </w:num>
  <w:num w:numId="8">
    <w:abstractNumId w:val="1"/>
  </w:num>
  <w:num w:numId="9">
    <w:abstractNumId w:val="2"/>
  </w:num>
  <w:num w:numId="10">
    <w:abstractNumId w:val="11"/>
  </w:num>
  <w:num w:numId="11">
    <w:abstractNumId w:val="6"/>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noPunctuationKerning/>
  <w:characterSpacingControl w:val="compressPunctuation"/>
  <w:footnotePr>
    <w:numFmt w:val="decimalEnclosedCircleChinese"/>
    <w:numRestart w:val="eachPage"/>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7BFA"/>
    <w:rsid w:val="00001A0D"/>
    <w:rsid w:val="00011B48"/>
    <w:rsid w:val="0001500D"/>
    <w:rsid w:val="0001570C"/>
    <w:rsid w:val="0001597B"/>
    <w:rsid w:val="00032322"/>
    <w:rsid w:val="00033D90"/>
    <w:rsid w:val="00040496"/>
    <w:rsid w:val="000441E8"/>
    <w:rsid w:val="000446B8"/>
    <w:rsid w:val="00044B84"/>
    <w:rsid w:val="00066644"/>
    <w:rsid w:val="00073B21"/>
    <w:rsid w:val="000800CD"/>
    <w:rsid w:val="0008074A"/>
    <w:rsid w:val="000808F2"/>
    <w:rsid w:val="00085CAC"/>
    <w:rsid w:val="00090C22"/>
    <w:rsid w:val="00093264"/>
    <w:rsid w:val="0009543E"/>
    <w:rsid w:val="000E3881"/>
    <w:rsid w:val="000F1A73"/>
    <w:rsid w:val="000F6CE6"/>
    <w:rsid w:val="00114D78"/>
    <w:rsid w:val="001223E1"/>
    <w:rsid w:val="00130D44"/>
    <w:rsid w:val="0013657C"/>
    <w:rsid w:val="0013768A"/>
    <w:rsid w:val="001430F5"/>
    <w:rsid w:val="00152E5E"/>
    <w:rsid w:val="00155EFC"/>
    <w:rsid w:val="00160C99"/>
    <w:rsid w:val="00163AFD"/>
    <w:rsid w:val="00165E7B"/>
    <w:rsid w:val="001710BA"/>
    <w:rsid w:val="00174231"/>
    <w:rsid w:val="00176ABA"/>
    <w:rsid w:val="001A41C7"/>
    <w:rsid w:val="001B245E"/>
    <w:rsid w:val="001B3BA3"/>
    <w:rsid w:val="001C6AC7"/>
    <w:rsid w:val="001D0780"/>
    <w:rsid w:val="001D4173"/>
    <w:rsid w:val="001D43AF"/>
    <w:rsid w:val="001D4AAD"/>
    <w:rsid w:val="001D58C3"/>
    <w:rsid w:val="001E6359"/>
    <w:rsid w:val="001E6492"/>
    <w:rsid w:val="001E727A"/>
    <w:rsid w:val="001E7C22"/>
    <w:rsid w:val="001F0948"/>
    <w:rsid w:val="00203C69"/>
    <w:rsid w:val="00203EBA"/>
    <w:rsid w:val="0020556D"/>
    <w:rsid w:val="00213940"/>
    <w:rsid w:val="002224A7"/>
    <w:rsid w:val="002275ED"/>
    <w:rsid w:val="00230B24"/>
    <w:rsid w:val="00251568"/>
    <w:rsid w:val="0025429A"/>
    <w:rsid w:val="002552FE"/>
    <w:rsid w:val="00255C98"/>
    <w:rsid w:val="00257BF3"/>
    <w:rsid w:val="00260C73"/>
    <w:rsid w:val="002638D8"/>
    <w:rsid w:val="002701C8"/>
    <w:rsid w:val="00273E16"/>
    <w:rsid w:val="002767A9"/>
    <w:rsid w:val="00283369"/>
    <w:rsid w:val="002941E2"/>
    <w:rsid w:val="00294FDC"/>
    <w:rsid w:val="00297D5A"/>
    <w:rsid w:val="002A3DC4"/>
    <w:rsid w:val="002A42CE"/>
    <w:rsid w:val="002B30FC"/>
    <w:rsid w:val="002C6BFA"/>
    <w:rsid w:val="002C7283"/>
    <w:rsid w:val="002E141A"/>
    <w:rsid w:val="002E292F"/>
    <w:rsid w:val="002E4A81"/>
    <w:rsid w:val="002E664F"/>
    <w:rsid w:val="002E6945"/>
    <w:rsid w:val="002F0E4F"/>
    <w:rsid w:val="002F3B4A"/>
    <w:rsid w:val="00301C2D"/>
    <w:rsid w:val="00302563"/>
    <w:rsid w:val="00303B23"/>
    <w:rsid w:val="00313AF6"/>
    <w:rsid w:val="003216DE"/>
    <w:rsid w:val="00327550"/>
    <w:rsid w:val="00332840"/>
    <w:rsid w:val="003447F4"/>
    <w:rsid w:val="003468E6"/>
    <w:rsid w:val="00346F80"/>
    <w:rsid w:val="00354FAD"/>
    <w:rsid w:val="003604DC"/>
    <w:rsid w:val="00360C02"/>
    <w:rsid w:val="003631D7"/>
    <w:rsid w:val="0036665F"/>
    <w:rsid w:val="003669C1"/>
    <w:rsid w:val="00370E58"/>
    <w:rsid w:val="00374806"/>
    <w:rsid w:val="003770F8"/>
    <w:rsid w:val="00383BAF"/>
    <w:rsid w:val="00395C60"/>
    <w:rsid w:val="003A439B"/>
    <w:rsid w:val="003B77AA"/>
    <w:rsid w:val="003C61D7"/>
    <w:rsid w:val="003C65A6"/>
    <w:rsid w:val="003C7C90"/>
    <w:rsid w:val="003D1D08"/>
    <w:rsid w:val="003E5BEE"/>
    <w:rsid w:val="003F158B"/>
    <w:rsid w:val="004026F0"/>
    <w:rsid w:val="00410D1B"/>
    <w:rsid w:val="004155B9"/>
    <w:rsid w:val="004166A9"/>
    <w:rsid w:val="00417C0A"/>
    <w:rsid w:val="00440FF8"/>
    <w:rsid w:val="00444CF6"/>
    <w:rsid w:val="0045529E"/>
    <w:rsid w:val="00456C3C"/>
    <w:rsid w:val="004573D6"/>
    <w:rsid w:val="004638D3"/>
    <w:rsid w:val="00467992"/>
    <w:rsid w:val="00470494"/>
    <w:rsid w:val="00477859"/>
    <w:rsid w:val="00477A1F"/>
    <w:rsid w:val="00487B03"/>
    <w:rsid w:val="004C36C5"/>
    <w:rsid w:val="004C7E95"/>
    <w:rsid w:val="004D1D23"/>
    <w:rsid w:val="004D2012"/>
    <w:rsid w:val="004E0E87"/>
    <w:rsid w:val="004E40D0"/>
    <w:rsid w:val="004F366C"/>
    <w:rsid w:val="00502C28"/>
    <w:rsid w:val="00504BE0"/>
    <w:rsid w:val="00505F39"/>
    <w:rsid w:val="00511E9B"/>
    <w:rsid w:val="0051508B"/>
    <w:rsid w:val="00520A66"/>
    <w:rsid w:val="005245F6"/>
    <w:rsid w:val="0053039A"/>
    <w:rsid w:val="00530569"/>
    <w:rsid w:val="0053341D"/>
    <w:rsid w:val="005423DD"/>
    <w:rsid w:val="00547E47"/>
    <w:rsid w:val="005519AF"/>
    <w:rsid w:val="00551E9F"/>
    <w:rsid w:val="00552530"/>
    <w:rsid w:val="00554251"/>
    <w:rsid w:val="005542AC"/>
    <w:rsid w:val="0055772C"/>
    <w:rsid w:val="00562659"/>
    <w:rsid w:val="00576AC6"/>
    <w:rsid w:val="00577732"/>
    <w:rsid w:val="005807B6"/>
    <w:rsid w:val="0058314C"/>
    <w:rsid w:val="00590BDA"/>
    <w:rsid w:val="0059409A"/>
    <w:rsid w:val="005957F6"/>
    <w:rsid w:val="00597238"/>
    <w:rsid w:val="005A02D3"/>
    <w:rsid w:val="005A6E94"/>
    <w:rsid w:val="005C0A3E"/>
    <w:rsid w:val="005C1D85"/>
    <w:rsid w:val="005C25B9"/>
    <w:rsid w:val="005C6448"/>
    <w:rsid w:val="005D1B80"/>
    <w:rsid w:val="005E542B"/>
    <w:rsid w:val="005E6756"/>
    <w:rsid w:val="005E7E47"/>
    <w:rsid w:val="005F0B5A"/>
    <w:rsid w:val="005F16A6"/>
    <w:rsid w:val="00603E81"/>
    <w:rsid w:val="006051CE"/>
    <w:rsid w:val="006058D8"/>
    <w:rsid w:val="0060644D"/>
    <w:rsid w:val="006122F6"/>
    <w:rsid w:val="006173F3"/>
    <w:rsid w:val="006201C1"/>
    <w:rsid w:val="006357AE"/>
    <w:rsid w:val="00642900"/>
    <w:rsid w:val="00647CF2"/>
    <w:rsid w:val="00664C24"/>
    <w:rsid w:val="0067693B"/>
    <w:rsid w:val="006773BB"/>
    <w:rsid w:val="00677AA4"/>
    <w:rsid w:val="00685CC2"/>
    <w:rsid w:val="006934FA"/>
    <w:rsid w:val="006A76BC"/>
    <w:rsid w:val="006B0A10"/>
    <w:rsid w:val="006B7786"/>
    <w:rsid w:val="006B7861"/>
    <w:rsid w:val="006C1DDA"/>
    <w:rsid w:val="006C67A6"/>
    <w:rsid w:val="006C7F43"/>
    <w:rsid w:val="006D247B"/>
    <w:rsid w:val="006D7AB7"/>
    <w:rsid w:val="006E3412"/>
    <w:rsid w:val="006E66BB"/>
    <w:rsid w:val="006F1D64"/>
    <w:rsid w:val="006F430C"/>
    <w:rsid w:val="006F5735"/>
    <w:rsid w:val="006F7761"/>
    <w:rsid w:val="007068B3"/>
    <w:rsid w:val="00711093"/>
    <w:rsid w:val="007166D7"/>
    <w:rsid w:val="00720AFD"/>
    <w:rsid w:val="007210E0"/>
    <w:rsid w:val="007317E7"/>
    <w:rsid w:val="00747767"/>
    <w:rsid w:val="00773AD0"/>
    <w:rsid w:val="007812FE"/>
    <w:rsid w:val="0078445A"/>
    <w:rsid w:val="00797BFA"/>
    <w:rsid w:val="007B7E79"/>
    <w:rsid w:val="007C045E"/>
    <w:rsid w:val="007C138A"/>
    <w:rsid w:val="007C1DFA"/>
    <w:rsid w:val="007E015D"/>
    <w:rsid w:val="007E16A4"/>
    <w:rsid w:val="007E17A9"/>
    <w:rsid w:val="007E486D"/>
    <w:rsid w:val="007F4C82"/>
    <w:rsid w:val="007F50FA"/>
    <w:rsid w:val="007F72D3"/>
    <w:rsid w:val="008014A3"/>
    <w:rsid w:val="00801EFB"/>
    <w:rsid w:val="00804745"/>
    <w:rsid w:val="0081327D"/>
    <w:rsid w:val="0081452B"/>
    <w:rsid w:val="00816334"/>
    <w:rsid w:val="0082084F"/>
    <w:rsid w:val="00822165"/>
    <w:rsid w:val="00822ACE"/>
    <w:rsid w:val="00827CF0"/>
    <w:rsid w:val="00832BE7"/>
    <w:rsid w:val="00834D7A"/>
    <w:rsid w:val="0084382F"/>
    <w:rsid w:val="00843ABC"/>
    <w:rsid w:val="00846F18"/>
    <w:rsid w:val="00853603"/>
    <w:rsid w:val="00853B37"/>
    <w:rsid w:val="008733E7"/>
    <w:rsid w:val="00876C6E"/>
    <w:rsid w:val="008840F2"/>
    <w:rsid w:val="00886193"/>
    <w:rsid w:val="008918DC"/>
    <w:rsid w:val="008957DA"/>
    <w:rsid w:val="008978C3"/>
    <w:rsid w:val="008A09F5"/>
    <w:rsid w:val="008A2D45"/>
    <w:rsid w:val="008A2D78"/>
    <w:rsid w:val="008A70CD"/>
    <w:rsid w:val="008A722B"/>
    <w:rsid w:val="008B0B7A"/>
    <w:rsid w:val="008B3721"/>
    <w:rsid w:val="008B380F"/>
    <w:rsid w:val="008C150E"/>
    <w:rsid w:val="008C2200"/>
    <w:rsid w:val="008C2B30"/>
    <w:rsid w:val="008C3A10"/>
    <w:rsid w:val="008C3F6D"/>
    <w:rsid w:val="008C5184"/>
    <w:rsid w:val="008D0A93"/>
    <w:rsid w:val="008D268F"/>
    <w:rsid w:val="008D5DE2"/>
    <w:rsid w:val="008D6BEB"/>
    <w:rsid w:val="008E0354"/>
    <w:rsid w:val="008E15E6"/>
    <w:rsid w:val="008E3915"/>
    <w:rsid w:val="008F37D4"/>
    <w:rsid w:val="008F4C62"/>
    <w:rsid w:val="008F595F"/>
    <w:rsid w:val="008F5AEE"/>
    <w:rsid w:val="008F642A"/>
    <w:rsid w:val="00903723"/>
    <w:rsid w:val="00904FD5"/>
    <w:rsid w:val="00905926"/>
    <w:rsid w:val="00905B25"/>
    <w:rsid w:val="00907E54"/>
    <w:rsid w:val="00910EDB"/>
    <w:rsid w:val="00911086"/>
    <w:rsid w:val="00912B2E"/>
    <w:rsid w:val="00917D63"/>
    <w:rsid w:val="009236D7"/>
    <w:rsid w:val="0092658C"/>
    <w:rsid w:val="009318D1"/>
    <w:rsid w:val="00933F70"/>
    <w:rsid w:val="0093527C"/>
    <w:rsid w:val="00935F4B"/>
    <w:rsid w:val="0094095C"/>
    <w:rsid w:val="009410E9"/>
    <w:rsid w:val="00944C57"/>
    <w:rsid w:val="009520CD"/>
    <w:rsid w:val="0096243C"/>
    <w:rsid w:val="00962A89"/>
    <w:rsid w:val="00965810"/>
    <w:rsid w:val="00966FA6"/>
    <w:rsid w:val="00987DC1"/>
    <w:rsid w:val="00994C01"/>
    <w:rsid w:val="00995096"/>
    <w:rsid w:val="009A07BD"/>
    <w:rsid w:val="009A2FFB"/>
    <w:rsid w:val="009B0AAA"/>
    <w:rsid w:val="009B6AFE"/>
    <w:rsid w:val="009B6EC7"/>
    <w:rsid w:val="009C0BBC"/>
    <w:rsid w:val="009C2435"/>
    <w:rsid w:val="009C4ED7"/>
    <w:rsid w:val="009D1490"/>
    <w:rsid w:val="009D1B8F"/>
    <w:rsid w:val="009E58A1"/>
    <w:rsid w:val="009E792D"/>
    <w:rsid w:val="009F1013"/>
    <w:rsid w:val="009F46CE"/>
    <w:rsid w:val="009F6A98"/>
    <w:rsid w:val="00A00D73"/>
    <w:rsid w:val="00A04E73"/>
    <w:rsid w:val="00A1217F"/>
    <w:rsid w:val="00A213EC"/>
    <w:rsid w:val="00A23D5E"/>
    <w:rsid w:val="00A266C0"/>
    <w:rsid w:val="00A274FA"/>
    <w:rsid w:val="00A353A5"/>
    <w:rsid w:val="00A369FC"/>
    <w:rsid w:val="00A45E3F"/>
    <w:rsid w:val="00A4709B"/>
    <w:rsid w:val="00A546F6"/>
    <w:rsid w:val="00A56600"/>
    <w:rsid w:val="00A62E4E"/>
    <w:rsid w:val="00A677D7"/>
    <w:rsid w:val="00A73B1E"/>
    <w:rsid w:val="00A80792"/>
    <w:rsid w:val="00A86CBC"/>
    <w:rsid w:val="00A968FC"/>
    <w:rsid w:val="00A96D3C"/>
    <w:rsid w:val="00AA1833"/>
    <w:rsid w:val="00AB2B86"/>
    <w:rsid w:val="00AB54D2"/>
    <w:rsid w:val="00AB7AD6"/>
    <w:rsid w:val="00AD01C8"/>
    <w:rsid w:val="00AD01EA"/>
    <w:rsid w:val="00AD0EAD"/>
    <w:rsid w:val="00AD6E22"/>
    <w:rsid w:val="00AE3240"/>
    <w:rsid w:val="00AE4572"/>
    <w:rsid w:val="00AE77EB"/>
    <w:rsid w:val="00B00364"/>
    <w:rsid w:val="00B012EA"/>
    <w:rsid w:val="00B03572"/>
    <w:rsid w:val="00B209B9"/>
    <w:rsid w:val="00B2529C"/>
    <w:rsid w:val="00B32343"/>
    <w:rsid w:val="00B56944"/>
    <w:rsid w:val="00B679E8"/>
    <w:rsid w:val="00B737C5"/>
    <w:rsid w:val="00B74531"/>
    <w:rsid w:val="00B747B1"/>
    <w:rsid w:val="00B74FED"/>
    <w:rsid w:val="00B81B23"/>
    <w:rsid w:val="00B87008"/>
    <w:rsid w:val="00B90132"/>
    <w:rsid w:val="00B95366"/>
    <w:rsid w:val="00BA33D7"/>
    <w:rsid w:val="00BC1005"/>
    <w:rsid w:val="00BC16BE"/>
    <w:rsid w:val="00BD72DD"/>
    <w:rsid w:val="00C11A25"/>
    <w:rsid w:val="00C12488"/>
    <w:rsid w:val="00C209D6"/>
    <w:rsid w:val="00C21BCD"/>
    <w:rsid w:val="00C27345"/>
    <w:rsid w:val="00C455C6"/>
    <w:rsid w:val="00C55DE7"/>
    <w:rsid w:val="00C560CC"/>
    <w:rsid w:val="00C62E92"/>
    <w:rsid w:val="00C62F0D"/>
    <w:rsid w:val="00C64FED"/>
    <w:rsid w:val="00C6687C"/>
    <w:rsid w:val="00C720F9"/>
    <w:rsid w:val="00C7434D"/>
    <w:rsid w:val="00C81410"/>
    <w:rsid w:val="00C90F05"/>
    <w:rsid w:val="00C924F2"/>
    <w:rsid w:val="00C92818"/>
    <w:rsid w:val="00CA7830"/>
    <w:rsid w:val="00CB2DF1"/>
    <w:rsid w:val="00CC5122"/>
    <w:rsid w:val="00CD31CD"/>
    <w:rsid w:val="00CD68D2"/>
    <w:rsid w:val="00CF67E4"/>
    <w:rsid w:val="00CF70EE"/>
    <w:rsid w:val="00CF7832"/>
    <w:rsid w:val="00D0113A"/>
    <w:rsid w:val="00D03AE1"/>
    <w:rsid w:val="00D06515"/>
    <w:rsid w:val="00D104A7"/>
    <w:rsid w:val="00D154F2"/>
    <w:rsid w:val="00D26740"/>
    <w:rsid w:val="00D5343D"/>
    <w:rsid w:val="00D574DA"/>
    <w:rsid w:val="00D72C3E"/>
    <w:rsid w:val="00D72D03"/>
    <w:rsid w:val="00D82E8C"/>
    <w:rsid w:val="00D92042"/>
    <w:rsid w:val="00D93E83"/>
    <w:rsid w:val="00D9521E"/>
    <w:rsid w:val="00DA1334"/>
    <w:rsid w:val="00DB7CA8"/>
    <w:rsid w:val="00DC022A"/>
    <w:rsid w:val="00DC6CF4"/>
    <w:rsid w:val="00DD1E0B"/>
    <w:rsid w:val="00DD6348"/>
    <w:rsid w:val="00DD726F"/>
    <w:rsid w:val="00DE186D"/>
    <w:rsid w:val="00DE2B46"/>
    <w:rsid w:val="00DE59CF"/>
    <w:rsid w:val="00DE5F9E"/>
    <w:rsid w:val="00DF00FD"/>
    <w:rsid w:val="00E0565E"/>
    <w:rsid w:val="00E0645D"/>
    <w:rsid w:val="00E06DF9"/>
    <w:rsid w:val="00E12FE4"/>
    <w:rsid w:val="00E14015"/>
    <w:rsid w:val="00E15E6E"/>
    <w:rsid w:val="00E16EC2"/>
    <w:rsid w:val="00E1700E"/>
    <w:rsid w:val="00E171B1"/>
    <w:rsid w:val="00E27CCB"/>
    <w:rsid w:val="00E40E0E"/>
    <w:rsid w:val="00E43BB4"/>
    <w:rsid w:val="00E44F01"/>
    <w:rsid w:val="00E4744F"/>
    <w:rsid w:val="00E52B9F"/>
    <w:rsid w:val="00E57C93"/>
    <w:rsid w:val="00E61112"/>
    <w:rsid w:val="00E75A4B"/>
    <w:rsid w:val="00E87947"/>
    <w:rsid w:val="00E87FA7"/>
    <w:rsid w:val="00E92346"/>
    <w:rsid w:val="00EA01FB"/>
    <w:rsid w:val="00EB4539"/>
    <w:rsid w:val="00EC55A2"/>
    <w:rsid w:val="00EC6A28"/>
    <w:rsid w:val="00ED23EE"/>
    <w:rsid w:val="00ED6070"/>
    <w:rsid w:val="00EE45EE"/>
    <w:rsid w:val="00EE4C56"/>
    <w:rsid w:val="00EE7C81"/>
    <w:rsid w:val="00EF4036"/>
    <w:rsid w:val="00EF47B1"/>
    <w:rsid w:val="00F116BD"/>
    <w:rsid w:val="00F13D0C"/>
    <w:rsid w:val="00F20D00"/>
    <w:rsid w:val="00F30475"/>
    <w:rsid w:val="00F354D3"/>
    <w:rsid w:val="00F366AD"/>
    <w:rsid w:val="00F41594"/>
    <w:rsid w:val="00F45EE1"/>
    <w:rsid w:val="00F47D0D"/>
    <w:rsid w:val="00F56A08"/>
    <w:rsid w:val="00F7274D"/>
    <w:rsid w:val="00F853E4"/>
    <w:rsid w:val="00F86EEF"/>
    <w:rsid w:val="00FA53A2"/>
    <w:rsid w:val="00FB067B"/>
    <w:rsid w:val="00FB1D4E"/>
    <w:rsid w:val="00FB633B"/>
    <w:rsid w:val="00FC38CE"/>
    <w:rsid w:val="00FC6B5E"/>
    <w:rsid w:val="00FC6CFE"/>
    <w:rsid w:val="00FD0520"/>
    <w:rsid w:val="00FD3EE3"/>
    <w:rsid w:val="00FD6211"/>
    <w:rsid w:val="00FE02A6"/>
    <w:rsid w:val="00FF0A40"/>
    <w:rsid w:val="00FF3ADA"/>
    <w:rsid w:val="021C78F6"/>
    <w:rsid w:val="08F647CB"/>
    <w:rsid w:val="09352996"/>
    <w:rsid w:val="0CEE31B5"/>
    <w:rsid w:val="0D06534D"/>
    <w:rsid w:val="1436044A"/>
    <w:rsid w:val="191C0254"/>
    <w:rsid w:val="193009F0"/>
    <w:rsid w:val="2F5A7056"/>
    <w:rsid w:val="338551D1"/>
    <w:rsid w:val="34DF42AD"/>
    <w:rsid w:val="42947FC7"/>
    <w:rsid w:val="546B082D"/>
    <w:rsid w:val="5B061925"/>
    <w:rsid w:val="60144DF4"/>
    <w:rsid w:val="6CEC5B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547E332"/>
  <w15:docId w15:val="{D06716B8-C6DC-49B4-AA9F-31E26271A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unhideWhenUsed="1" w:qFormat="1"/>
    <w:lsdException w:name="heading 3"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unhideWhenUsed="1"/>
    <w:lsdException w:name="annotation text"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unhideWhenUsed="1"/>
    <w:lsdException w:name="annotation reference"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pacing w:line="360" w:lineRule="auto"/>
      <w:ind w:firstLineChars="200" w:firstLine="200"/>
      <w:jc w:val="both"/>
    </w:pPr>
    <w:rPr>
      <w:rFonts w:cstheme="minorBidi"/>
      <w:kern w:val="2"/>
      <w:sz w:val="24"/>
      <w:szCs w:val="22"/>
    </w:rPr>
  </w:style>
  <w:style w:type="paragraph" w:styleId="1">
    <w:name w:val="heading 1"/>
    <w:basedOn w:val="a"/>
    <w:next w:val="a"/>
    <w:link w:val="10"/>
    <w:qFormat/>
    <w:pPr>
      <w:keepNext/>
      <w:keepLines/>
      <w:ind w:firstLineChars="0" w:firstLine="0"/>
      <w:jc w:val="center"/>
      <w:outlineLvl w:val="0"/>
    </w:pPr>
    <w:rPr>
      <w:b/>
      <w:bCs/>
      <w:kern w:val="44"/>
      <w:szCs w:val="44"/>
    </w:rPr>
  </w:style>
  <w:style w:type="paragraph" w:styleId="2">
    <w:name w:val="heading 2"/>
    <w:basedOn w:val="a"/>
    <w:next w:val="a"/>
    <w:link w:val="20"/>
    <w:unhideWhenUsed/>
    <w:qFormat/>
    <w:pPr>
      <w:keepNext/>
      <w:keepLines/>
      <w:ind w:firstLineChars="0" w:firstLine="0"/>
      <w:outlineLvl w:val="1"/>
    </w:pPr>
    <w:rPr>
      <w:rFonts w:cstheme="majorBidi"/>
      <w:b/>
      <w:bCs/>
      <w:szCs w:val="32"/>
    </w:rPr>
  </w:style>
  <w:style w:type="paragraph" w:styleId="3">
    <w:name w:val="heading 3"/>
    <w:basedOn w:val="a"/>
    <w:next w:val="a"/>
    <w:link w:val="30"/>
    <w:unhideWhenUsed/>
    <w:qFormat/>
    <w:pPr>
      <w:keepNext/>
      <w:keepLines/>
      <w:ind w:firstLineChars="0" w:firstLine="0"/>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iPriority w:val="99"/>
    <w:unhideWhenUsed/>
    <w:qFormat/>
    <w:rPr>
      <w:b/>
      <w:bCs/>
    </w:rPr>
  </w:style>
  <w:style w:type="paragraph" w:styleId="a4">
    <w:name w:val="annotation text"/>
    <w:basedOn w:val="a"/>
    <w:link w:val="a6"/>
    <w:uiPriority w:val="99"/>
    <w:unhideWhenUsed/>
    <w:qFormat/>
    <w:pPr>
      <w:jc w:val="left"/>
    </w:pPr>
  </w:style>
  <w:style w:type="paragraph" w:styleId="a7">
    <w:name w:val="caption"/>
    <w:basedOn w:val="a"/>
    <w:next w:val="a"/>
    <w:uiPriority w:val="35"/>
    <w:unhideWhenUsed/>
    <w:qFormat/>
    <w:rPr>
      <w:rFonts w:asciiTheme="majorHAnsi" w:eastAsia="黑体" w:hAnsiTheme="majorHAnsi" w:cstheme="majorBidi"/>
      <w:sz w:val="20"/>
      <w:szCs w:val="20"/>
    </w:rPr>
  </w:style>
  <w:style w:type="paragraph" w:styleId="a8">
    <w:name w:val="Balloon Text"/>
    <w:basedOn w:val="a"/>
    <w:link w:val="a9"/>
    <w:uiPriority w:val="99"/>
    <w:unhideWhenUsed/>
    <w:qFormat/>
    <w:pPr>
      <w:spacing w:line="240" w:lineRule="auto"/>
    </w:pPr>
    <w:rPr>
      <w:sz w:val="18"/>
      <w:szCs w:val="18"/>
    </w:rPr>
  </w:style>
  <w:style w:type="paragraph" w:styleId="aa">
    <w:name w:val="footer"/>
    <w:basedOn w:val="a"/>
    <w:link w:val="ab"/>
    <w:uiPriority w:val="99"/>
    <w:unhideWhenUsed/>
    <w:qFormat/>
    <w:pPr>
      <w:tabs>
        <w:tab w:val="center" w:pos="4153"/>
        <w:tab w:val="right" w:pos="8306"/>
      </w:tabs>
      <w:snapToGrid w:val="0"/>
      <w:spacing w:line="240" w:lineRule="auto"/>
      <w:jc w:val="left"/>
    </w:pPr>
    <w:rPr>
      <w:sz w:val="18"/>
      <w:szCs w:val="18"/>
    </w:rPr>
  </w:style>
  <w:style w:type="paragraph" w:styleId="ac">
    <w:name w:val="header"/>
    <w:basedOn w:val="a"/>
    <w:link w:val="ad"/>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paragraph" w:styleId="11">
    <w:name w:val="toc 1"/>
    <w:basedOn w:val="a"/>
    <w:next w:val="a"/>
    <w:uiPriority w:val="39"/>
    <w:qFormat/>
    <w:pPr>
      <w:ind w:firstLineChars="0" w:firstLine="0"/>
    </w:pPr>
    <w:rPr>
      <w:rFonts w:asciiTheme="minorHAnsi" w:hAnsiTheme="minorHAnsi"/>
      <w:szCs w:val="24"/>
    </w:rPr>
  </w:style>
  <w:style w:type="paragraph" w:styleId="ae">
    <w:name w:val="Subtitle"/>
    <w:basedOn w:val="a"/>
    <w:next w:val="a"/>
    <w:link w:val="af"/>
    <w:uiPriority w:val="11"/>
    <w:qFormat/>
    <w:pPr>
      <w:spacing w:line="240" w:lineRule="auto"/>
      <w:ind w:firstLineChars="0" w:firstLine="0"/>
      <w:jc w:val="left"/>
      <w:outlineLvl w:val="1"/>
    </w:pPr>
    <w:rPr>
      <w:b/>
      <w:bCs/>
      <w:kern w:val="28"/>
      <w:szCs w:val="32"/>
    </w:rPr>
  </w:style>
  <w:style w:type="paragraph" w:styleId="af0">
    <w:name w:val="footnote text"/>
    <w:basedOn w:val="a"/>
    <w:link w:val="af1"/>
    <w:unhideWhenUsed/>
    <w:pPr>
      <w:snapToGrid w:val="0"/>
      <w:jc w:val="left"/>
    </w:pPr>
    <w:rPr>
      <w:sz w:val="18"/>
      <w:szCs w:val="18"/>
    </w:rPr>
  </w:style>
  <w:style w:type="paragraph" w:styleId="21">
    <w:name w:val="toc 2"/>
    <w:basedOn w:val="a"/>
    <w:next w:val="a"/>
    <w:uiPriority w:val="39"/>
    <w:unhideWhenUsed/>
    <w:qFormat/>
    <w:pPr>
      <w:ind w:leftChars="200" w:left="420"/>
    </w:pPr>
  </w:style>
  <w:style w:type="paragraph" w:styleId="af2">
    <w:name w:val="Normal (Web)"/>
    <w:basedOn w:val="a"/>
    <w:pPr>
      <w:spacing w:beforeAutospacing="1" w:afterAutospacing="1"/>
      <w:ind w:firstLineChars="0" w:firstLine="0"/>
      <w:jc w:val="left"/>
    </w:pPr>
    <w:rPr>
      <w:rFonts w:asciiTheme="minorHAnsi" w:hAnsiTheme="minorHAnsi" w:cs="Times New Roman"/>
      <w:kern w:val="0"/>
      <w:szCs w:val="24"/>
    </w:rPr>
  </w:style>
  <w:style w:type="paragraph" w:styleId="af3">
    <w:name w:val="Title"/>
    <w:basedOn w:val="a"/>
    <w:next w:val="a"/>
    <w:link w:val="af4"/>
    <w:qFormat/>
    <w:pPr>
      <w:ind w:firstLineChars="0" w:firstLine="0"/>
      <w:jc w:val="left"/>
      <w:outlineLvl w:val="0"/>
    </w:pPr>
    <w:rPr>
      <w:rFonts w:cstheme="majorBidi"/>
      <w:b/>
      <w:bCs/>
      <w:szCs w:val="32"/>
    </w:rPr>
  </w:style>
  <w:style w:type="character" w:styleId="af5">
    <w:name w:val="Strong"/>
    <w:basedOn w:val="a0"/>
    <w:rPr>
      <w:b/>
      <w:bCs/>
    </w:rPr>
  </w:style>
  <w:style w:type="character" w:styleId="af6">
    <w:name w:val="Emphasis"/>
    <w:basedOn w:val="a0"/>
    <w:uiPriority w:val="20"/>
    <w:qFormat/>
    <w:rPr>
      <w:i/>
      <w:iCs/>
    </w:rPr>
  </w:style>
  <w:style w:type="character" w:styleId="af7">
    <w:name w:val="Hyperlink"/>
    <w:basedOn w:val="a0"/>
    <w:uiPriority w:val="99"/>
    <w:unhideWhenUsed/>
    <w:qFormat/>
    <w:rPr>
      <w:color w:val="0563C1" w:themeColor="hyperlink"/>
      <w:u w:val="single"/>
    </w:rPr>
  </w:style>
  <w:style w:type="character" w:styleId="af8">
    <w:name w:val="annotation reference"/>
    <w:basedOn w:val="a0"/>
    <w:unhideWhenUsed/>
    <w:rPr>
      <w:sz w:val="21"/>
      <w:szCs w:val="21"/>
    </w:rPr>
  </w:style>
  <w:style w:type="character" w:styleId="af9">
    <w:name w:val="footnote reference"/>
    <w:basedOn w:val="a0"/>
    <w:unhideWhenUsed/>
    <w:rPr>
      <w:vertAlign w:val="superscript"/>
    </w:rPr>
  </w:style>
  <w:style w:type="table" w:styleId="afa">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0"/>
    <w:link w:val="1"/>
    <w:qFormat/>
    <w:rPr>
      <w:rFonts w:ascii="Times New Roman" w:eastAsia="宋体" w:hAnsi="Times New Roman"/>
      <w:b/>
      <w:bCs/>
      <w:kern w:val="44"/>
      <w:sz w:val="24"/>
      <w:szCs w:val="44"/>
    </w:rPr>
  </w:style>
  <w:style w:type="character" w:customStyle="1" w:styleId="20">
    <w:name w:val="标题 2 字符"/>
    <w:basedOn w:val="a0"/>
    <w:link w:val="2"/>
    <w:qFormat/>
    <w:rPr>
      <w:rFonts w:ascii="Times New Roman" w:eastAsia="宋体" w:hAnsi="Times New Roman" w:cstheme="majorBidi"/>
      <w:b/>
      <w:bCs/>
      <w:sz w:val="24"/>
      <w:szCs w:val="32"/>
    </w:rPr>
  </w:style>
  <w:style w:type="character" w:customStyle="1" w:styleId="30">
    <w:name w:val="标题 3 字符"/>
    <w:basedOn w:val="a0"/>
    <w:link w:val="3"/>
    <w:uiPriority w:val="9"/>
    <w:qFormat/>
    <w:rPr>
      <w:rFonts w:cstheme="minorBidi"/>
      <w:b/>
      <w:bCs/>
      <w:kern w:val="2"/>
      <w:sz w:val="24"/>
      <w:szCs w:val="32"/>
    </w:rPr>
  </w:style>
  <w:style w:type="character" w:customStyle="1" w:styleId="a6">
    <w:name w:val="批注文字 字符"/>
    <w:basedOn w:val="a0"/>
    <w:link w:val="a4"/>
    <w:uiPriority w:val="99"/>
    <w:semiHidden/>
    <w:qFormat/>
    <w:rPr>
      <w:rFonts w:ascii="Times New Roman" w:eastAsia="宋体" w:hAnsi="Times New Roman"/>
      <w:sz w:val="24"/>
    </w:rPr>
  </w:style>
  <w:style w:type="character" w:customStyle="1" w:styleId="a5">
    <w:name w:val="批注主题 字符"/>
    <w:basedOn w:val="a6"/>
    <w:link w:val="a3"/>
    <w:uiPriority w:val="99"/>
    <w:semiHidden/>
    <w:qFormat/>
    <w:rPr>
      <w:rFonts w:ascii="Times New Roman" w:eastAsia="宋体" w:hAnsi="Times New Roman"/>
      <w:b/>
      <w:bCs/>
      <w:sz w:val="24"/>
    </w:rPr>
  </w:style>
  <w:style w:type="character" w:customStyle="1" w:styleId="a9">
    <w:name w:val="批注框文本 字符"/>
    <w:basedOn w:val="a0"/>
    <w:link w:val="a8"/>
    <w:uiPriority w:val="99"/>
    <w:semiHidden/>
    <w:rPr>
      <w:rFonts w:ascii="Times New Roman" w:eastAsia="宋体" w:hAnsi="Times New Roman"/>
      <w:sz w:val="18"/>
      <w:szCs w:val="18"/>
    </w:rPr>
  </w:style>
  <w:style w:type="character" w:customStyle="1" w:styleId="ab">
    <w:name w:val="页脚 字符"/>
    <w:basedOn w:val="a0"/>
    <w:link w:val="aa"/>
    <w:uiPriority w:val="99"/>
    <w:rPr>
      <w:rFonts w:ascii="Times New Roman" w:eastAsia="宋体" w:hAnsi="Times New Roman"/>
      <w:sz w:val="18"/>
      <w:szCs w:val="18"/>
    </w:rPr>
  </w:style>
  <w:style w:type="character" w:customStyle="1" w:styleId="ad">
    <w:name w:val="页眉 字符"/>
    <w:basedOn w:val="a0"/>
    <w:link w:val="ac"/>
    <w:uiPriority w:val="99"/>
    <w:rPr>
      <w:rFonts w:ascii="Times New Roman" w:eastAsia="宋体" w:hAnsi="Times New Roman"/>
      <w:sz w:val="18"/>
      <w:szCs w:val="18"/>
    </w:rPr>
  </w:style>
  <w:style w:type="character" w:customStyle="1" w:styleId="af">
    <w:name w:val="副标题 字符"/>
    <w:basedOn w:val="a0"/>
    <w:link w:val="ae"/>
    <w:uiPriority w:val="11"/>
    <w:qFormat/>
    <w:rPr>
      <w:rFonts w:cstheme="minorBidi"/>
      <w:b/>
      <w:bCs/>
      <w:kern w:val="28"/>
      <w:sz w:val="24"/>
      <w:szCs w:val="32"/>
    </w:rPr>
  </w:style>
  <w:style w:type="character" w:customStyle="1" w:styleId="af1">
    <w:name w:val="脚注文本 字符"/>
    <w:basedOn w:val="a0"/>
    <w:link w:val="af0"/>
    <w:qFormat/>
    <w:rPr>
      <w:rFonts w:ascii="Times New Roman" w:eastAsia="宋体" w:hAnsi="Times New Roman"/>
      <w:sz w:val="18"/>
      <w:szCs w:val="18"/>
    </w:rPr>
  </w:style>
  <w:style w:type="character" w:customStyle="1" w:styleId="af4">
    <w:name w:val="标题 字符"/>
    <w:basedOn w:val="a0"/>
    <w:link w:val="af3"/>
    <w:uiPriority w:val="10"/>
    <w:qFormat/>
    <w:rPr>
      <w:rFonts w:cstheme="majorBidi"/>
      <w:b/>
      <w:bCs/>
      <w:kern w:val="2"/>
      <w:sz w:val="24"/>
      <w:szCs w:val="32"/>
    </w:rPr>
  </w:style>
  <w:style w:type="paragraph" w:customStyle="1" w:styleId="12">
    <w:name w:val="列出段落1"/>
    <w:basedOn w:val="a"/>
    <w:uiPriority w:val="34"/>
    <w:pPr>
      <w:ind w:firstLine="420"/>
    </w:pPr>
  </w:style>
  <w:style w:type="paragraph" w:customStyle="1" w:styleId="afb">
    <w:name w:val="脚注"/>
    <w:basedOn w:val="af0"/>
    <w:link w:val="afc"/>
    <w:qFormat/>
    <w:pPr>
      <w:spacing w:line="240" w:lineRule="auto"/>
      <w:ind w:firstLineChars="0" w:firstLine="0"/>
    </w:pPr>
  </w:style>
  <w:style w:type="character" w:customStyle="1" w:styleId="afc">
    <w:name w:val="脚注 字符"/>
    <w:basedOn w:val="af1"/>
    <w:link w:val="afb"/>
    <w:qFormat/>
    <w:rPr>
      <w:rFonts w:ascii="Times New Roman" w:eastAsia="宋体" w:hAnsi="Times New Roman"/>
      <w:sz w:val="18"/>
      <w:szCs w:val="18"/>
    </w:rPr>
  </w:style>
  <w:style w:type="character" w:customStyle="1" w:styleId="apple-converted-space">
    <w:name w:val="apple-converted-space"/>
    <w:basedOn w:val="a0"/>
  </w:style>
  <w:style w:type="character" w:customStyle="1" w:styleId="13">
    <w:name w:val="未处理的提及1"/>
    <w:basedOn w:val="a0"/>
    <w:uiPriority w:val="99"/>
    <w:unhideWhenUsed/>
    <w:rPr>
      <w:color w:val="808080"/>
      <w:shd w:val="clear" w:color="auto" w:fill="E6E6E6"/>
    </w:rPr>
  </w:style>
  <w:style w:type="character" w:customStyle="1" w:styleId="shorttext">
    <w:name w:val="short_text"/>
    <w:basedOn w:val="a0"/>
  </w:style>
  <w:style w:type="paragraph" w:customStyle="1" w:styleId="22">
    <w:name w:val="列出段落2"/>
    <w:basedOn w:val="a"/>
    <w:uiPriority w:val="34"/>
    <w:pPr>
      <w:ind w:firstLine="420"/>
    </w:pPr>
  </w:style>
  <w:style w:type="character" w:customStyle="1" w:styleId="ovfl-xlt-more">
    <w:name w:val="ovfl-xlt-more"/>
    <w:basedOn w:val="a0"/>
  </w:style>
  <w:style w:type="paragraph" w:customStyle="1" w:styleId="31">
    <w:name w:val="列出段落3"/>
    <w:basedOn w:val="a"/>
    <w:uiPriority w:val="34"/>
    <w:pPr>
      <w:ind w:firstLine="420"/>
    </w:pPr>
  </w:style>
  <w:style w:type="paragraph" w:styleId="afd">
    <w:name w:val="List Paragraph"/>
    <w:basedOn w:val="a"/>
    <w:uiPriority w:val="34"/>
    <w:qFormat/>
    <w:pPr>
      <w:ind w:firstLine="420"/>
    </w:pPr>
  </w:style>
  <w:style w:type="character" w:customStyle="1" w:styleId="23">
    <w:name w:val="未处理的提及2"/>
    <w:basedOn w:val="a0"/>
    <w:uiPriority w:val="99"/>
    <w:unhideWhenUsed/>
    <w:rPr>
      <w:color w:val="808080"/>
      <w:shd w:val="clear" w:color="auto" w:fill="E6E6E6"/>
    </w:rPr>
  </w:style>
  <w:style w:type="table" w:customStyle="1" w:styleId="TableNormal">
    <w:name w:val="Table Normal"/>
    <w:uiPriority w:val="2"/>
    <w:semiHidden/>
    <w:unhideWhenUsed/>
    <w:qFormat/>
    <w:pPr>
      <w:widowControl w:val="0"/>
      <w:autoSpaceDE w:val="0"/>
      <w:autoSpaceDN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customStyle="1" w:styleId="TableParagraph">
    <w:name w:val="Table Paragraph"/>
    <w:basedOn w:val="a"/>
    <w:uiPriority w:val="1"/>
    <w:pPr>
      <w:autoSpaceDE w:val="0"/>
      <w:autoSpaceDN w:val="0"/>
      <w:spacing w:before="133" w:line="166" w:lineRule="exact"/>
      <w:ind w:left="105" w:firstLineChars="0" w:firstLine="0"/>
      <w:jc w:val="center"/>
    </w:pPr>
    <w:rPr>
      <w:rFonts w:ascii="Arial" w:eastAsia="Arial" w:hAnsi="Arial" w:cs="Arial"/>
      <w:kern w:val="0"/>
      <w:sz w:val="22"/>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image" Target="media/image3.jpeg"/><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image" Target="media/image4.png"/><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B442912-3934-4B50-A049-EB2348852D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4064</Words>
  <Characters>23165</Characters>
  <Application>Microsoft Office Word</Application>
  <DocSecurity>0</DocSecurity>
  <Lines>193</Lines>
  <Paragraphs>54</Paragraphs>
  <ScaleCrop>false</ScaleCrop>
  <Company/>
  <LinksUpToDate>false</LinksUpToDate>
  <CharactersWithSpaces>27175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郑诗倩</dc:creator>
  <cp:lastModifiedBy>郑诗倩</cp:lastModifiedBy>
  <cp:revision>17</cp:revision>
  <dcterms:created xsi:type="dcterms:W3CDTF">2018-02-14T09:23:00Z</dcterms:created>
  <dcterms:modified xsi:type="dcterms:W3CDTF">2018-03-16T15:30:00Z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