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76" w:lineRule="exact" w:before="0"/>
        <w:ind w:left="120" w:right="0" w:firstLine="0"/>
        <w:jc w:val="left"/>
        <w:rPr>
          <w:rFonts w:ascii="Microsoft YaHei" w:eastAsia="Microsoft YaHei" w:hint="eastAsia"/>
          <w:b/>
          <w:sz w:val="44"/>
        </w:rPr>
      </w:pPr>
      <w:r>
        <w:rPr>
          <w:rFonts w:ascii="Microsoft YaHei" w:eastAsia="Microsoft YaHei" w:hint="eastAsia"/>
          <w:b/>
          <w:color w:val="001F5F"/>
          <w:sz w:val="44"/>
        </w:rPr>
        <w:t>客观、专业、洞察</w:t>
      </w:r>
    </w:p>
    <w:p>
      <w:pPr>
        <w:pStyle w:val="BodyText"/>
        <w:spacing w:before="4"/>
        <w:rPr>
          <w:rFonts w:ascii="Microsoft YaHei"/>
          <w:b/>
          <w:sz w:val="48"/>
        </w:rPr>
      </w:pPr>
    </w:p>
    <w:p>
      <w:pPr>
        <w:tabs>
          <w:tab w:pos="1651" w:val="left" w:leader="none"/>
        </w:tabs>
        <w:spacing w:line="326" w:lineRule="auto" w:before="0"/>
        <w:ind w:left="199" w:right="207" w:firstLine="7"/>
        <w:jc w:val="center"/>
        <w:rPr>
          <w:rFonts w:ascii="Microsoft YaHei" w:eastAsia="Microsoft YaHei" w:hint="eastAsia"/>
          <w:b/>
          <w:sz w:val="72"/>
        </w:rPr>
      </w:pPr>
      <w:r>
        <w:rPr>
          <w:rFonts w:ascii="Microsoft YaHei" w:eastAsia="Microsoft YaHei" w:hint="eastAsia"/>
          <w:b/>
          <w:color w:val="001F5F"/>
          <w:sz w:val="72"/>
        </w:rPr>
        <w:t>月</w:t>
        <w:tab/>
        <w:t>刊                </w:t>
      </w:r>
      <w:r>
        <w:rPr>
          <w:rFonts w:ascii="Microsoft YaHei" w:eastAsia="Microsoft YaHei" w:hint="eastAsia"/>
          <w:b/>
          <w:color w:val="001F5F"/>
          <w:spacing w:val="7"/>
          <w:sz w:val="72"/>
        </w:rPr>
        <w:t> </w:t>
      </w:r>
      <w:r>
        <w:rPr>
          <w:rFonts w:ascii="Arial" w:eastAsia="Arial"/>
          <w:b/>
          <w:color w:val="001F5F"/>
          <w:sz w:val="72"/>
        </w:rPr>
        <w:t>OECD</w:t>
      </w:r>
      <w:r>
        <w:rPr>
          <w:rFonts w:ascii="Arial" w:eastAsia="Arial"/>
          <w:b/>
          <w:color w:val="001F5F"/>
          <w:spacing w:val="-18"/>
          <w:sz w:val="72"/>
        </w:rPr>
        <w:t> </w:t>
      </w:r>
      <w:r>
        <w:rPr>
          <w:rFonts w:ascii="Microsoft YaHei" w:eastAsia="Microsoft YaHei" w:hint="eastAsia"/>
          <w:b/>
          <w:color w:val="001F5F"/>
          <w:spacing w:val="2"/>
          <w:sz w:val="72"/>
        </w:rPr>
        <w:t>税</w:t>
      </w:r>
      <w:r>
        <w:rPr>
          <w:rFonts w:ascii="Microsoft YaHei" w:eastAsia="Microsoft YaHei" w:hint="eastAsia"/>
          <w:b/>
          <w:color w:val="001F5F"/>
          <w:sz w:val="72"/>
        </w:rPr>
        <w:t>收政</w:t>
      </w:r>
      <w:r>
        <w:rPr>
          <w:rFonts w:ascii="Microsoft YaHei" w:eastAsia="Microsoft YaHei" w:hint="eastAsia"/>
          <w:b/>
          <w:color w:val="001F5F"/>
          <w:spacing w:val="2"/>
          <w:sz w:val="72"/>
        </w:rPr>
        <w:t>策</w:t>
      </w:r>
      <w:r>
        <w:rPr>
          <w:rFonts w:ascii="Microsoft YaHei" w:eastAsia="Microsoft YaHei" w:hint="eastAsia"/>
          <w:b/>
          <w:color w:val="001F5F"/>
          <w:sz w:val="72"/>
        </w:rPr>
        <w:t>和管</w:t>
      </w:r>
      <w:r>
        <w:rPr>
          <w:rFonts w:ascii="Microsoft YaHei" w:eastAsia="Microsoft YaHei" w:hint="eastAsia"/>
          <w:b/>
          <w:color w:val="001F5F"/>
          <w:spacing w:val="2"/>
          <w:sz w:val="72"/>
        </w:rPr>
        <w:t>理</w:t>
      </w:r>
      <w:r>
        <w:rPr>
          <w:rFonts w:ascii="Microsoft YaHei" w:eastAsia="Microsoft YaHei" w:hint="eastAsia"/>
          <w:b/>
          <w:color w:val="001F5F"/>
          <w:sz w:val="72"/>
        </w:rPr>
        <w:t>动态</w:t>
      </w:r>
    </w:p>
    <w:p>
      <w:pPr>
        <w:pStyle w:val="BodyText"/>
        <w:spacing w:before="14"/>
        <w:rPr>
          <w:rFonts w:ascii="Microsoft YaHei"/>
          <w:b/>
          <w:sz w:val="65"/>
        </w:rPr>
      </w:pPr>
    </w:p>
    <w:p>
      <w:pPr>
        <w:pStyle w:val="Heading1"/>
        <w:ind w:right="1370"/>
      </w:pPr>
      <w:r>
        <w:rPr>
          <w:color w:val="001F5F"/>
        </w:rPr>
        <w:t>上海财经大学公共政策与治理研究院</w:t>
      </w:r>
    </w:p>
    <w:p>
      <w:pPr>
        <w:spacing w:before="80"/>
        <w:ind w:left="1369" w:right="1369" w:firstLine="0"/>
        <w:jc w:val="center"/>
        <w:rPr>
          <w:rFonts w:ascii="Microsoft YaHei" w:eastAsia="Microsoft YaHei" w:hint="eastAsia"/>
          <w:b/>
          <w:sz w:val="30"/>
        </w:rPr>
      </w:pPr>
      <w:r>
        <w:rPr>
          <w:rFonts w:ascii="Arial" w:eastAsia="Arial"/>
          <w:b/>
          <w:color w:val="001F5F"/>
          <w:sz w:val="30"/>
        </w:rPr>
        <w:t>2018 </w:t>
      </w:r>
      <w:r>
        <w:rPr>
          <w:rFonts w:ascii="Microsoft YaHei" w:eastAsia="Microsoft YaHei" w:hint="eastAsia"/>
          <w:b/>
          <w:color w:val="001F5F"/>
          <w:sz w:val="30"/>
        </w:rPr>
        <w:t>年第 </w:t>
      </w:r>
      <w:r>
        <w:rPr>
          <w:rFonts w:ascii="Arial" w:eastAsia="Arial"/>
          <w:b/>
          <w:color w:val="001F5F"/>
          <w:sz w:val="30"/>
        </w:rPr>
        <w:t>8 </w:t>
      </w:r>
      <w:r>
        <w:rPr>
          <w:rFonts w:ascii="Microsoft YaHei" w:eastAsia="Microsoft YaHei" w:hint="eastAsia"/>
          <w:b/>
          <w:color w:val="001F5F"/>
          <w:sz w:val="30"/>
        </w:rPr>
        <w:t>期</w:t>
      </w:r>
    </w:p>
    <w:p>
      <w:pPr>
        <w:pStyle w:val="BodyText"/>
        <w:rPr>
          <w:rFonts w:ascii="Microsoft YaHei"/>
          <w:b/>
          <w:sz w:val="20"/>
        </w:rPr>
      </w:pPr>
    </w:p>
    <w:p>
      <w:pPr>
        <w:pStyle w:val="BodyText"/>
        <w:spacing w:before="15"/>
        <w:rPr>
          <w:rFonts w:ascii="Microsoft YaHei"/>
          <w:b/>
          <w:sz w:val="10"/>
        </w:rPr>
      </w:pPr>
      <w:r>
        <w:rPr/>
        <w:drawing>
          <wp:anchor distT="0" distB="0" distL="0" distR="0" allowOverlap="1" layoutInCell="1" locked="0" behindDoc="0" simplePos="0" relativeHeight="0">
            <wp:simplePos x="0" y="0"/>
            <wp:positionH relativeFrom="page">
              <wp:posOffset>3041903</wp:posOffset>
            </wp:positionH>
            <wp:positionV relativeFrom="paragraph">
              <wp:posOffset>144158</wp:posOffset>
            </wp:positionV>
            <wp:extent cx="1459884" cy="1457325"/>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459884" cy="1457325"/>
                    </a:xfrm>
                    <a:prstGeom prst="rect">
                      <a:avLst/>
                    </a:prstGeom>
                  </pic:spPr>
                </pic:pic>
              </a:graphicData>
            </a:graphic>
          </wp:anchor>
        </w:drawing>
      </w:r>
    </w:p>
    <w:p>
      <w:pPr>
        <w:pStyle w:val="BodyText"/>
        <w:rPr>
          <w:rFonts w:ascii="Microsoft YaHei"/>
          <w:b/>
          <w:sz w:val="30"/>
        </w:rPr>
      </w:pPr>
    </w:p>
    <w:p>
      <w:pPr>
        <w:pStyle w:val="BodyText"/>
        <w:rPr>
          <w:rFonts w:ascii="Microsoft YaHei"/>
          <w:b/>
          <w:sz w:val="30"/>
        </w:rPr>
      </w:pPr>
    </w:p>
    <w:p>
      <w:pPr>
        <w:pStyle w:val="BodyText"/>
        <w:rPr>
          <w:rFonts w:ascii="Microsoft YaHei"/>
          <w:b/>
          <w:sz w:val="30"/>
        </w:rPr>
      </w:pPr>
    </w:p>
    <w:p>
      <w:pPr>
        <w:pStyle w:val="BodyText"/>
        <w:rPr>
          <w:rFonts w:ascii="Microsoft YaHei"/>
          <w:b/>
          <w:sz w:val="38"/>
        </w:rPr>
      </w:pPr>
    </w:p>
    <w:p>
      <w:pPr>
        <w:pStyle w:val="Heading1"/>
        <w:spacing w:before="1"/>
        <w:ind w:right="1366"/>
        <w:rPr>
          <w:rFonts w:ascii="Times New Roman"/>
        </w:rPr>
      </w:pPr>
      <w:r>
        <w:rPr>
          <w:rFonts w:ascii="Times New Roman"/>
          <w:color w:val="001F5F"/>
        </w:rPr>
        <w:t>2018.9.16</w:t>
      </w:r>
    </w:p>
    <w:p>
      <w:pPr>
        <w:spacing w:after="0"/>
        <w:rPr>
          <w:rFonts w:ascii="Times New Roman"/>
        </w:rPr>
        <w:sectPr>
          <w:footerReference w:type="default" r:id="rId5"/>
          <w:type w:val="continuous"/>
          <w:pgSz w:w="11900" w:h="16850"/>
          <w:pgMar w:footer="992" w:top="1560" w:bottom="1180" w:left="1680" w:right="1680"/>
          <w:pgNumType w:start="1"/>
        </w:sectPr>
      </w:pPr>
    </w:p>
    <w:p>
      <w:pPr>
        <w:pStyle w:val="BodyText"/>
        <w:rPr>
          <w:rFonts w:ascii="Times New Roman"/>
          <w:b/>
          <w:sz w:val="20"/>
        </w:rPr>
      </w:pPr>
    </w:p>
    <w:p>
      <w:pPr>
        <w:spacing w:before="56"/>
        <w:ind w:left="120" w:right="0" w:firstLine="0"/>
        <w:jc w:val="left"/>
        <w:rPr>
          <w:rFonts w:ascii="Microsoft YaHei" w:eastAsia="Microsoft YaHei" w:hint="eastAsia"/>
          <w:b/>
          <w:sz w:val="36"/>
        </w:rPr>
      </w:pPr>
      <w:r>
        <w:rPr>
          <w:rFonts w:ascii="Microsoft YaHei" w:eastAsia="Microsoft YaHei" w:hint="eastAsia"/>
          <w:b/>
          <w:color w:val="001F5F"/>
          <w:sz w:val="36"/>
        </w:rPr>
        <w:t>版权说明：</w:t>
      </w:r>
    </w:p>
    <w:p>
      <w:pPr>
        <w:pStyle w:val="BodyText"/>
        <w:rPr>
          <w:rFonts w:ascii="Microsoft YaHei"/>
          <w:b/>
          <w:sz w:val="36"/>
        </w:rPr>
      </w:pPr>
    </w:p>
    <w:p>
      <w:pPr>
        <w:pStyle w:val="BodyText"/>
        <w:spacing w:before="13"/>
        <w:rPr>
          <w:rFonts w:ascii="Microsoft YaHei"/>
          <w:b/>
          <w:sz w:val="46"/>
        </w:rPr>
      </w:pPr>
    </w:p>
    <w:p>
      <w:pPr>
        <w:spacing w:line="211" w:lineRule="auto" w:before="0"/>
        <w:ind w:left="120" w:right="116" w:firstLine="705"/>
        <w:jc w:val="both"/>
        <w:rPr>
          <w:rFonts w:ascii="Microsoft YaHei" w:eastAsia="Microsoft YaHei" w:hint="eastAsia"/>
          <w:b/>
          <w:sz w:val="28"/>
        </w:rPr>
      </w:pPr>
      <w:r>
        <w:rPr>
          <w:rFonts w:ascii="Microsoft YaHei" w:eastAsia="Microsoft YaHei" w:hint="eastAsia"/>
          <w:b/>
          <w:color w:val="001F5F"/>
          <w:w w:val="95"/>
          <w:sz w:val="28"/>
        </w:rPr>
        <w:t>《</w:t>
      </w:r>
      <w:r>
        <w:rPr>
          <w:rFonts w:ascii="Arial" w:eastAsia="Arial"/>
          <w:b/>
          <w:color w:val="001F5F"/>
          <w:w w:val="95"/>
          <w:sz w:val="28"/>
        </w:rPr>
        <w:t>OECD </w:t>
      </w:r>
      <w:r>
        <w:rPr>
          <w:rFonts w:ascii="Microsoft YaHei" w:eastAsia="Microsoft YaHei" w:hint="eastAsia"/>
          <w:b/>
          <w:color w:val="001F5F"/>
          <w:spacing w:val="-7"/>
          <w:w w:val="95"/>
          <w:sz w:val="28"/>
        </w:rPr>
        <w:t>税收政策和管理动态》月刊由上海财经大学公共政策与治理研究院制作。《</w:t>
      </w:r>
      <w:r>
        <w:rPr>
          <w:rFonts w:ascii="Arial" w:eastAsia="Arial"/>
          <w:b/>
          <w:color w:val="001F5F"/>
          <w:spacing w:val="-7"/>
          <w:w w:val="95"/>
          <w:sz w:val="28"/>
        </w:rPr>
        <w:t>OECD </w:t>
      </w:r>
      <w:r>
        <w:rPr>
          <w:rFonts w:ascii="Microsoft YaHei" w:eastAsia="Microsoft YaHei" w:hint="eastAsia"/>
          <w:b/>
          <w:color w:val="001F5F"/>
          <w:spacing w:val="1"/>
          <w:w w:val="95"/>
          <w:sz w:val="28"/>
        </w:rPr>
        <w:t>税收政策和管理动态》每月 </w:t>
      </w:r>
      <w:r>
        <w:rPr>
          <w:rFonts w:ascii="Arial" w:eastAsia="Arial"/>
          <w:b/>
          <w:color w:val="001F5F"/>
          <w:w w:val="95"/>
          <w:sz w:val="28"/>
        </w:rPr>
        <w:t>1 </w:t>
      </w:r>
      <w:r>
        <w:rPr>
          <w:rFonts w:ascii="Microsoft YaHei" w:eastAsia="Microsoft YaHei" w:hint="eastAsia"/>
          <w:b/>
          <w:color w:val="001F5F"/>
          <w:w w:val="95"/>
          <w:sz w:val="28"/>
        </w:rPr>
        <w:t>期，专业提</w:t>
      </w:r>
      <w:r>
        <w:rPr>
          <w:rFonts w:ascii="Microsoft YaHei" w:eastAsia="Microsoft YaHei" w:hint="eastAsia"/>
          <w:b/>
          <w:color w:val="001F5F"/>
          <w:spacing w:val="0"/>
          <w:w w:val="95"/>
          <w:sz w:val="28"/>
        </w:rPr>
        <w:t>供 </w:t>
      </w:r>
      <w:r>
        <w:rPr>
          <w:rFonts w:ascii="Arial" w:eastAsia="Arial"/>
          <w:b/>
          <w:color w:val="001F5F"/>
          <w:w w:val="95"/>
          <w:sz w:val="28"/>
        </w:rPr>
        <w:t>OECD </w:t>
      </w:r>
      <w:r>
        <w:rPr>
          <w:rFonts w:ascii="Microsoft YaHei" w:eastAsia="Microsoft YaHei" w:hint="eastAsia"/>
          <w:b/>
          <w:color w:val="001F5F"/>
          <w:w w:val="95"/>
          <w:sz w:val="28"/>
        </w:rPr>
        <w:t>有关税收政策、税务管理动态。</w:t>
      </w: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rPr>
          <w:rFonts w:ascii="Microsoft YaHei"/>
          <w:b/>
          <w:sz w:val="28"/>
        </w:rPr>
      </w:pPr>
    </w:p>
    <w:p>
      <w:pPr>
        <w:pStyle w:val="BodyText"/>
        <w:spacing w:before="14"/>
        <w:rPr>
          <w:rFonts w:ascii="Microsoft YaHei"/>
          <w:b/>
          <w:sz w:val="33"/>
        </w:rPr>
      </w:pPr>
    </w:p>
    <w:p>
      <w:pPr>
        <w:pStyle w:val="Heading3"/>
        <w:spacing w:line="244" w:lineRule="auto"/>
        <w:ind w:left="3975" w:right="630"/>
      </w:pPr>
      <w:r>
        <w:rPr>
          <w:rFonts w:ascii="Arial" w:eastAsia="Arial"/>
          <w:color w:val="001F5F"/>
          <w:w w:val="95"/>
        </w:rPr>
        <w:t>OECD </w:t>
      </w:r>
      <w:r>
        <w:rPr>
          <w:color w:val="001F5F"/>
          <w:w w:val="95"/>
        </w:rPr>
        <w:t>税收政策和管理动态工作团队： </w:t>
      </w:r>
      <w:r>
        <w:rPr>
          <w:color w:val="001F5F"/>
        </w:rPr>
        <w:t>负责：田志伟 孔晏 周颖</w:t>
      </w:r>
    </w:p>
    <w:p>
      <w:pPr>
        <w:spacing w:line="244" w:lineRule="auto" w:before="0"/>
        <w:ind w:left="4700" w:right="1250" w:hanging="725"/>
        <w:jc w:val="left"/>
        <w:rPr>
          <w:rFonts w:ascii="Microsoft YaHei" w:eastAsia="Microsoft YaHei" w:hint="eastAsia"/>
          <w:b/>
          <w:sz w:val="24"/>
        </w:rPr>
      </w:pPr>
      <w:r>
        <w:rPr>
          <w:rFonts w:ascii="Microsoft YaHei" w:eastAsia="Microsoft YaHei" w:hint="eastAsia"/>
          <w:b/>
          <w:color w:val="001F5F"/>
          <w:sz w:val="24"/>
        </w:rPr>
        <w:t>参与：王再堂 贺越 史良 汪豫刘倩文 阮斯蒙</w:t>
      </w:r>
    </w:p>
    <w:p>
      <w:pPr>
        <w:spacing w:after="0" w:line="244" w:lineRule="auto"/>
        <w:jc w:val="left"/>
        <w:rPr>
          <w:rFonts w:ascii="Microsoft YaHei" w:eastAsia="Microsoft YaHei" w:hint="eastAsia"/>
          <w:sz w:val="24"/>
        </w:rPr>
        <w:sectPr>
          <w:pgSz w:w="11900" w:h="16850"/>
          <w:pgMar w:header="0" w:footer="992" w:top="1600" w:bottom="1180" w:left="1680" w:right="1680"/>
        </w:sectPr>
      </w:pPr>
    </w:p>
    <w:p>
      <w:pPr>
        <w:pStyle w:val="BodyText"/>
        <w:rPr>
          <w:rFonts w:ascii="Microsoft YaHei"/>
          <w:b/>
          <w:sz w:val="20"/>
        </w:rPr>
      </w:pPr>
    </w:p>
    <w:p>
      <w:pPr>
        <w:pStyle w:val="BodyText"/>
        <w:spacing w:before="17"/>
        <w:rPr>
          <w:rFonts w:ascii="Microsoft YaHei"/>
          <w:b/>
          <w:sz w:val="21"/>
        </w:rPr>
      </w:pPr>
    </w:p>
    <w:p>
      <w:pPr>
        <w:tabs>
          <w:tab w:pos="595" w:val="left" w:leader="none"/>
        </w:tabs>
        <w:spacing w:line="458" w:lineRule="exact" w:before="0"/>
        <w:ind w:left="0" w:right="0" w:firstLine="0"/>
        <w:jc w:val="center"/>
        <w:rPr>
          <w:rFonts w:ascii="Microsoft YaHei" w:eastAsia="Microsoft YaHei" w:hint="eastAsia"/>
          <w:b/>
          <w:sz w:val="32"/>
        </w:rPr>
      </w:pPr>
      <w:r>
        <w:rPr>
          <w:rFonts w:ascii="Microsoft YaHei" w:eastAsia="Microsoft YaHei" w:hint="eastAsia"/>
          <w:b/>
          <w:color w:val="2D74B5"/>
          <w:sz w:val="32"/>
        </w:rPr>
        <w:t>目</w:t>
        <w:tab/>
        <w:t>录</w:t>
      </w:r>
    </w:p>
    <w:sdt>
      <w:sdtPr>
        <w:docPartObj>
          <w:docPartGallery w:val="Table of Contents"/>
          <w:docPartUnique/>
        </w:docPartObj>
      </w:sdtPr>
      <w:sdtEndPr/>
      <w:sdtContent>
        <w:p>
          <w:pPr>
            <w:pStyle w:val="TOC1"/>
            <w:numPr>
              <w:ilvl w:val="0"/>
              <w:numId w:val="1"/>
            </w:numPr>
            <w:tabs>
              <w:tab w:pos="600" w:val="left" w:leader="none"/>
              <w:tab w:pos="601" w:val="left" w:leader="none"/>
              <w:tab w:pos="8411" w:val="right" w:leader="dot"/>
            </w:tabs>
            <w:spacing w:line="240" w:lineRule="auto" w:before="767" w:after="0"/>
            <w:ind w:left="600" w:right="0" w:hanging="480"/>
            <w:jc w:val="left"/>
            <w:rPr>
              <w:rFonts w:ascii="Times New Roman" w:eastAsia="Times New Roman"/>
            </w:rPr>
          </w:pPr>
          <w:hyperlink w:history="true" w:anchor="_bookmark0">
            <w:r>
              <w:rPr/>
              <w:t>税基侵蚀与利润转移（</w:t>
            </w:r>
            <w:r>
              <w:rPr>
                <w:rFonts w:ascii="Times New Roman" w:eastAsia="Times New Roman"/>
              </w:rPr>
              <w:t>BEPS</w:t>
            </w:r>
            <w:r>
              <w:rPr/>
              <w:t>）栏目</w:t>
            </w:r>
            <w:r>
              <w:rPr>
                <w:rFonts w:ascii="Times New Roman" w:eastAsia="Times New Roman"/>
              </w:rPr>
              <w:tab/>
              <w:t>4</w:t>
            </w:r>
          </w:hyperlink>
        </w:p>
        <w:p>
          <w:pPr>
            <w:pStyle w:val="TOC3"/>
            <w:numPr>
              <w:ilvl w:val="1"/>
              <w:numId w:val="1"/>
            </w:numPr>
            <w:tabs>
              <w:tab w:pos="572" w:val="left" w:leader="none"/>
              <w:tab w:pos="8411" w:val="right" w:leader="dot"/>
            </w:tabs>
            <w:spacing w:line="333" w:lineRule="auto" w:before="110" w:after="0"/>
            <w:ind w:left="360" w:right="125" w:firstLine="0"/>
            <w:jc w:val="left"/>
            <w:rPr>
              <w:rFonts w:ascii="Times New Roman" w:eastAsia="Times New Roman"/>
            </w:rPr>
          </w:pPr>
          <w:hyperlink w:history="true" w:anchor="_bookmark1">
            <w:r>
              <w:rPr>
                <w:rFonts w:ascii="Times New Roman" w:eastAsia="Times New Roman"/>
              </w:rPr>
              <w:t>OECD</w:t>
            </w:r>
            <w:r>
              <w:rPr>
                <w:rFonts w:ascii="Times New Roman" w:eastAsia="Times New Roman"/>
                <w:spacing w:val="1"/>
              </w:rPr>
              <w:t> </w:t>
            </w:r>
            <w:r>
              <w:rPr/>
              <w:t>发布第</w:t>
            </w:r>
            <w:r>
              <w:rPr>
                <w:spacing w:val="-3"/>
              </w:rPr>
              <w:t>四</w:t>
            </w:r>
            <w:r>
              <w:rPr/>
              <w:t>轮关</w:t>
            </w:r>
            <w:r>
              <w:rPr>
                <w:spacing w:val="-3"/>
              </w:rPr>
              <w:t>于</w:t>
            </w:r>
            <w:r>
              <w:rPr/>
              <w:t>改善税</w:t>
            </w:r>
            <w:r>
              <w:rPr>
                <w:spacing w:val="-3"/>
              </w:rPr>
              <w:t>收</w:t>
            </w:r>
            <w:r>
              <w:rPr/>
              <w:t>争议</w:t>
            </w:r>
            <w:r>
              <w:rPr>
                <w:spacing w:val="-3"/>
              </w:rPr>
              <w:t>解</w:t>
            </w:r>
            <w:r>
              <w:rPr/>
              <w:t>决机</w:t>
            </w:r>
            <w:r>
              <w:rPr>
                <w:spacing w:val="-3"/>
              </w:rPr>
              <w:t>制</w:t>
            </w:r>
            <w:r>
              <w:rPr/>
              <w:t>的</w:t>
            </w:r>
            <w:r>
              <w:rPr>
                <w:spacing w:val="-51"/>
              </w:rPr>
              <w:t> </w:t>
            </w:r>
            <w:r>
              <w:rPr>
                <w:rFonts w:ascii="Times New Roman" w:eastAsia="Times New Roman"/>
              </w:rPr>
              <w:t>BEPS</w:t>
            </w:r>
            <w:r>
              <w:rPr>
                <w:rFonts w:ascii="Times New Roman" w:eastAsia="Times New Roman"/>
                <w:spacing w:val="1"/>
              </w:rPr>
              <w:t> </w:t>
            </w:r>
            <w:r>
              <w:rPr/>
              <w:t>第</w:t>
            </w:r>
            <w:r>
              <w:rPr>
                <w:spacing w:val="-52"/>
              </w:rPr>
              <w:t> </w:t>
            </w:r>
            <w:r>
              <w:rPr>
                <w:rFonts w:ascii="Times New Roman" w:eastAsia="Times New Roman"/>
              </w:rPr>
              <w:t>14 </w:t>
            </w:r>
            <w:r>
              <w:rPr/>
              <w:t>项行动</w:t>
            </w:r>
            <w:r>
              <w:rPr>
                <w:spacing w:val="-3"/>
              </w:rPr>
              <w:t>的</w:t>
            </w:r>
            <w:r>
              <w:rPr/>
              <w:t>同行互</w:t>
            </w:r>
            <w:r>
              <w:rPr>
                <w:spacing w:val="-3"/>
              </w:rPr>
              <w:t>审</w:t>
            </w:r>
            <w:r>
              <w:rPr/>
              <w:t>报</w:t>
            </w:r>
          </w:hyperlink>
          <w:hyperlink w:history="true" w:anchor="_bookmark1">
            <w:r>
              <w:rPr/>
              <w:t>告</w:t>
            </w:r>
            <w:r>
              <w:rPr>
                <w:rFonts w:ascii="Times New Roman" w:eastAsia="Times New Roman"/>
              </w:rPr>
              <w:tab/>
              <w:t>4</w:t>
            </w:r>
          </w:hyperlink>
        </w:p>
        <w:p>
          <w:pPr>
            <w:pStyle w:val="TOC1"/>
            <w:numPr>
              <w:ilvl w:val="0"/>
              <w:numId w:val="1"/>
            </w:numPr>
            <w:tabs>
              <w:tab w:pos="600" w:val="left" w:leader="none"/>
              <w:tab w:pos="601" w:val="left" w:leader="none"/>
              <w:tab w:pos="8411" w:val="right" w:leader="dot"/>
            </w:tabs>
            <w:spacing w:line="240" w:lineRule="auto" w:before="78" w:after="0"/>
            <w:ind w:left="600" w:right="0" w:hanging="480"/>
            <w:jc w:val="left"/>
            <w:rPr>
              <w:rFonts w:ascii="Times New Roman" w:eastAsia="Times New Roman"/>
            </w:rPr>
          </w:pPr>
          <w:hyperlink w:history="true" w:anchor="_bookmark2">
            <w:r>
              <w:rPr/>
              <w:t>政策分析栏目</w:t>
            </w:r>
            <w:r>
              <w:rPr>
                <w:rFonts w:ascii="Times New Roman" w:eastAsia="Times New Roman"/>
              </w:rPr>
              <w:tab/>
              <w:t>5</w:t>
            </w:r>
          </w:hyperlink>
        </w:p>
        <w:p>
          <w:pPr>
            <w:pStyle w:val="TOC2"/>
            <w:numPr>
              <w:ilvl w:val="0"/>
              <w:numId w:val="2"/>
            </w:numPr>
            <w:tabs>
              <w:tab w:pos="572" w:val="left" w:leader="none"/>
              <w:tab w:pos="8411" w:val="right" w:leader="dot"/>
            </w:tabs>
            <w:spacing w:line="240" w:lineRule="auto" w:before="42" w:after="0"/>
            <w:ind w:left="360" w:right="0" w:firstLine="0"/>
            <w:jc w:val="left"/>
            <w:rPr>
              <w:rFonts w:ascii="Times New Roman" w:eastAsia="Times New Roman"/>
              <w:b w:val="0"/>
            </w:rPr>
          </w:pPr>
          <w:hyperlink w:history="true" w:anchor="_bookmark3">
            <w:r>
              <w:rPr>
                <w:rFonts w:ascii="Times New Roman" w:eastAsia="Times New Roman"/>
              </w:rPr>
              <w:t>OECD</w:t>
            </w:r>
            <w:r>
              <w:rPr>
                <w:rFonts w:ascii="Times New Roman" w:eastAsia="Times New Roman"/>
                <w:spacing w:val="-3"/>
              </w:rPr>
              <w:t> </w:t>
            </w:r>
            <w:r>
              <w:rPr/>
              <w:t>税收政策评论：斯洛文尼亚</w:t>
            </w:r>
            <w:r>
              <w:rPr>
                <w:rFonts w:ascii="Times New Roman" w:eastAsia="Times New Roman"/>
                <w:b w:val="0"/>
              </w:rPr>
              <w:tab/>
              <w:t>5</w:t>
            </w:r>
          </w:hyperlink>
        </w:p>
        <w:p>
          <w:pPr>
            <w:pStyle w:val="TOC2"/>
            <w:numPr>
              <w:ilvl w:val="0"/>
              <w:numId w:val="2"/>
            </w:numPr>
            <w:tabs>
              <w:tab w:pos="572" w:val="left" w:leader="none"/>
              <w:tab w:pos="8411" w:val="right" w:leader="dot"/>
            </w:tabs>
            <w:spacing w:line="266" w:lineRule="auto" w:before="44" w:after="0"/>
            <w:ind w:left="360" w:right="125" w:firstLine="0"/>
            <w:jc w:val="left"/>
            <w:rPr>
              <w:rFonts w:ascii="Times New Roman" w:eastAsia="Times New Roman"/>
              <w:b w:val="0"/>
            </w:rPr>
          </w:pPr>
          <w:hyperlink w:history="true" w:anchor="_bookmark4">
            <w:r>
              <w:rPr>
                <w:rFonts w:ascii="Times New Roman" w:eastAsia="Times New Roman"/>
              </w:rPr>
              <w:t>OECD</w:t>
            </w:r>
            <w:r>
              <w:rPr>
                <w:rFonts w:ascii="Times New Roman" w:eastAsia="Times New Roman"/>
                <w:spacing w:val="-1"/>
              </w:rPr>
              <w:t> </w:t>
            </w:r>
            <w:r>
              <w:rPr/>
              <w:t>发布税务工作文件《企业有效税率：来自</w:t>
            </w:r>
            <w:r>
              <w:rPr>
                <w:spacing w:val="-5"/>
              </w:rPr>
              <w:t> </w:t>
            </w:r>
            <w:r>
              <w:rPr>
                <w:rFonts w:ascii="Times New Roman" w:eastAsia="Times New Roman"/>
              </w:rPr>
              <w:t>36</w:t>
            </w:r>
            <w:r>
              <w:rPr>
                <w:rFonts w:ascii="Times New Roman" w:eastAsia="Times New Roman"/>
                <w:spacing w:val="-1"/>
              </w:rPr>
              <w:t> </w:t>
            </w:r>
            <w:r>
              <w:rPr/>
              <w:t>个</w:t>
            </w:r>
            <w:r>
              <w:rPr>
                <w:spacing w:val="-9"/>
              </w:rPr>
              <w:t> </w:t>
            </w:r>
            <w:r>
              <w:rPr>
                <w:rFonts w:ascii="Times New Roman" w:eastAsia="Times New Roman"/>
              </w:rPr>
              <w:t>OECD</w:t>
            </w:r>
            <w:r>
              <w:rPr>
                <w:rFonts w:ascii="Times New Roman" w:eastAsia="Times New Roman"/>
                <w:spacing w:val="1"/>
              </w:rPr>
              <w:t> </w:t>
            </w:r>
            <w:r>
              <w:rPr/>
              <w:t>和非</w:t>
            </w:r>
            <w:r>
              <w:rPr>
                <w:spacing w:val="-9"/>
              </w:rPr>
              <w:t> </w:t>
            </w:r>
            <w:r>
              <w:rPr>
                <w:rFonts w:ascii="Times New Roman" w:eastAsia="Times New Roman"/>
              </w:rPr>
              <w:t>OECD</w:t>
            </w:r>
            <w:r>
              <w:rPr>
                <w:rFonts w:ascii="Times New Roman" w:eastAsia="Times New Roman"/>
                <w:spacing w:val="0"/>
              </w:rPr>
              <w:t> </w:t>
            </w:r>
            <w:r>
              <w:rPr/>
              <w:t>国家的</w:t>
            </w:r>
          </w:hyperlink>
          <w:hyperlink w:history="true" w:anchor="_bookmark4">
            <w:r>
              <w:rPr/>
              <w:t>模型统计结果》</w:t>
            </w:r>
            <w:r>
              <w:rPr>
                <w:rFonts w:ascii="Times New Roman" w:eastAsia="Times New Roman"/>
                <w:b w:val="0"/>
              </w:rPr>
              <w:tab/>
              <w:t>6</w:t>
            </w:r>
          </w:hyperlink>
        </w:p>
        <w:p>
          <w:pPr>
            <w:pStyle w:val="TOC2"/>
            <w:numPr>
              <w:ilvl w:val="0"/>
              <w:numId w:val="2"/>
            </w:numPr>
            <w:tabs>
              <w:tab w:pos="572" w:val="left" w:leader="none"/>
              <w:tab w:pos="8411" w:val="right" w:leader="dot"/>
            </w:tabs>
            <w:spacing w:line="266" w:lineRule="auto" w:before="10" w:after="0"/>
            <w:ind w:left="360" w:right="125" w:firstLine="0"/>
            <w:jc w:val="left"/>
            <w:rPr>
              <w:rFonts w:ascii="Times New Roman" w:hAnsi="Times New Roman" w:eastAsia="Times New Roman"/>
              <w:b w:val="0"/>
            </w:rPr>
          </w:pPr>
          <w:hyperlink w:history="true" w:anchor="_bookmark5">
            <w:r>
              <w:rPr>
                <w:rFonts w:ascii="Times New Roman" w:hAnsi="Times New Roman" w:eastAsia="Times New Roman"/>
              </w:rPr>
              <w:t>OECD</w:t>
            </w:r>
            <w:r>
              <w:rPr>
                <w:rFonts w:ascii="Times New Roman" w:hAnsi="Times New Roman" w:eastAsia="Times New Roman"/>
                <w:spacing w:val="-6"/>
              </w:rPr>
              <w:t> </w:t>
            </w:r>
            <w:r>
              <w:rPr/>
              <w:t>发布税务工作文件《意料外的企业所得税技术偏差——在低碳转型的背景</w:t>
            </w:r>
          </w:hyperlink>
          <w:hyperlink w:history="true" w:anchor="_bookmark5">
            <w:r>
              <w:rPr/>
              <w:t>下发电》</w:t>
            </w:r>
            <w:r>
              <w:rPr>
                <w:rFonts w:ascii="Times New Roman" w:hAnsi="Times New Roman" w:eastAsia="Times New Roman"/>
                <w:b w:val="0"/>
              </w:rPr>
              <w:tab/>
              <w:t>8</w:t>
            </w:r>
          </w:hyperlink>
        </w:p>
        <w:p>
          <w:pPr>
            <w:pStyle w:val="TOC2"/>
            <w:numPr>
              <w:ilvl w:val="0"/>
              <w:numId w:val="2"/>
            </w:numPr>
            <w:tabs>
              <w:tab w:pos="572" w:val="left" w:leader="none"/>
            </w:tabs>
            <w:spacing w:line="240" w:lineRule="auto" w:before="13" w:after="0"/>
            <w:ind w:left="571" w:right="0" w:hanging="211"/>
            <w:jc w:val="left"/>
            <w:rPr>
              <w:rFonts w:ascii="Times New Roman" w:eastAsia="Times New Roman"/>
              <w:b w:val="0"/>
            </w:rPr>
          </w:pPr>
          <w:hyperlink w:history="true" w:anchor="_bookmark6">
            <w:r>
              <w:rPr>
                <w:rFonts w:ascii="Times New Roman" w:eastAsia="Times New Roman"/>
              </w:rPr>
              <w:t>OECD</w:t>
            </w:r>
            <w:r>
              <w:rPr>
                <w:rFonts w:ascii="Times New Roman" w:eastAsia="Times New Roman"/>
                <w:spacing w:val="5"/>
              </w:rPr>
              <w:t> </w:t>
            </w:r>
            <w:r>
              <w:rPr/>
              <w:t>发布税务工作文件《国内收入变动：</w:t>
            </w:r>
            <w:r>
              <w:rPr>
                <w:rFonts w:ascii="Times New Roman" w:eastAsia="Times New Roman"/>
              </w:rPr>
              <w:t>80</w:t>
            </w:r>
            <w:r>
              <w:rPr>
                <w:rFonts w:ascii="Times New Roman" w:eastAsia="Times New Roman"/>
                <w:spacing w:val="5"/>
              </w:rPr>
              <w:t> </w:t>
            </w:r>
            <w:r>
              <w:rPr>
                <w:spacing w:val="-2"/>
              </w:rPr>
              <w:t>个国家的税收水平和结构数据》 </w:t>
            </w:r>
            <w:r>
              <w:rPr>
                <w:rFonts w:ascii="Times New Roman" w:eastAsia="Times New Roman"/>
                <w:b w:val="0"/>
                <w:spacing w:val="-3"/>
              </w:rPr>
              <w:t>. </w:t>
            </w:r>
            <w:r>
              <w:rPr>
                <w:rFonts w:ascii="Times New Roman" w:eastAsia="Times New Roman"/>
                <w:b w:val="0"/>
              </w:rPr>
              <w:t>8</w:t>
            </w:r>
          </w:hyperlink>
        </w:p>
        <w:p>
          <w:pPr>
            <w:pStyle w:val="TOC2"/>
            <w:numPr>
              <w:ilvl w:val="0"/>
              <w:numId w:val="2"/>
            </w:numPr>
            <w:tabs>
              <w:tab w:pos="572" w:val="left" w:leader="none"/>
              <w:tab w:pos="8411" w:val="right" w:leader="dot"/>
            </w:tabs>
            <w:spacing w:line="240" w:lineRule="auto" w:before="43" w:after="0"/>
            <w:ind w:left="571" w:right="0" w:hanging="211"/>
            <w:jc w:val="left"/>
            <w:rPr>
              <w:rFonts w:ascii="Times New Roman" w:eastAsia="Times New Roman"/>
              <w:b w:val="0"/>
            </w:rPr>
          </w:pPr>
          <w:hyperlink w:history="true" w:anchor="_bookmark7">
            <w:r>
              <w:rPr>
                <w:rFonts w:ascii="Times New Roman" w:eastAsia="Times New Roman"/>
              </w:rPr>
              <w:t>OECD</w:t>
            </w:r>
            <w:r>
              <w:rPr>
                <w:rFonts w:ascii="Times New Roman" w:eastAsia="Times New Roman"/>
                <w:spacing w:val="-3"/>
              </w:rPr>
              <w:t> </w:t>
            </w:r>
            <w:r>
              <w:rPr/>
              <w:t>发布税务政策研究《</w:t>
            </w:r>
            <w:r>
              <w:rPr>
                <w:rFonts w:ascii="Times New Roman" w:eastAsia="Times New Roman"/>
              </w:rPr>
              <w:t>OECD</w:t>
            </w:r>
            <w:r>
              <w:rPr>
                <w:rFonts w:ascii="Times New Roman" w:eastAsia="Times New Roman"/>
                <w:spacing w:val="-1"/>
              </w:rPr>
              <w:t> </w:t>
            </w:r>
            <w:r>
              <w:rPr/>
              <w:t>中净财富税的作用和设计》</w:t>
            </w:r>
            <w:r>
              <w:rPr>
                <w:rFonts w:ascii="Times New Roman" w:eastAsia="Times New Roman"/>
                <w:b w:val="0"/>
              </w:rPr>
              <w:tab/>
              <w:t>9</w:t>
            </w:r>
          </w:hyperlink>
        </w:p>
        <w:p>
          <w:pPr>
            <w:pStyle w:val="TOC3"/>
            <w:numPr>
              <w:ilvl w:val="0"/>
              <w:numId w:val="2"/>
            </w:numPr>
            <w:tabs>
              <w:tab w:pos="572" w:val="left" w:leader="none"/>
              <w:tab w:pos="8411" w:val="right" w:leader="dot"/>
            </w:tabs>
            <w:spacing w:line="240" w:lineRule="auto" w:before="108" w:after="0"/>
            <w:ind w:left="571" w:right="0" w:hanging="211"/>
            <w:jc w:val="left"/>
            <w:rPr>
              <w:rFonts w:ascii="Times New Roman" w:eastAsia="Times New Roman"/>
            </w:rPr>
          </w:pPr>
          <w:hyperlink w:history="true" w:anchor="_bookmark8">
            <w:r>
              <w:rPr>
                <w:rFonts w:ascii="Times New Roman" w:eastAsia="Times New Roman"/>
              </w:rPr>
              <w:t>OECD</w:t>
            </w:r>
            <w:r>
              <w:rPr>
                <w:rFonts w:ascii="Times New Roman" w:eastAsia="Times New Roman"/>
                <w:spacing w:val="-1"/>
              </w:rPr>
              <w:t> </w:t>
            </w:r>
            <w:r>
              <w:rPr/>
              <w:t>发布税</w:t>
            </w:r>
            <w:r>
              <w:rPr>
                <w:spacing w:val="-3"/>
              </w:rPr>
              <w:t>务</w:t>
            </w:r>
            <w:r>
              <w:rPr/>
              <w:t>政策</w:t>
            </w:r>
            <w:r>
              <w:rPr>
                <w:spacing w:val="-3"/>
              </w:rPr>
              <w:t>研</w:t>
            </w:r>
            <w:r>
              <w:rPr/>
              <w:t>究《家</w:t>
            </w:r>
            <w:r>
              <w:rPr>
                <w:spacing w:val="-3"/>
              </w:rPr>
              <w:t>庭</w:t>
            </w:r>
            <w:r>
              <w:rPr/>
              <w:t>储蓄</w:t>
            </w:r>
            <w:r>
              <w:rPr>
                <w:spacing w:val="-3"/>
              </w:rPr>
              <w:t>税</w:t>
            </w:r>
            <w:r>
              <w:rPr/>
              <w:t>》</w:t>
            </w:r>
            <w:r>
              <w:rPr>
                <w:rFonts w:ascii="Times New Roman" w:eastAsia="Times New Roman"/>
              </w:rPr>
              <w:tab/>
              <w:t>12</w:t>
            </w:r>
          </w:hyperlink>
        </w:p>
        <w:p>
          <w:pPr>
            <w:pStyle w:val="TOC3"/>
            <w:numPr>
              <w:ilvl w:val="0"/>
              <w:numId w:val="2"/>
            </w:numPr>
            <w:tabs>
              <w:tab w:pos="572" w:val="left" w:leader="none"/>
              <w:tab w:pos="8411" w:val="right" w:leader="dot"/>
            </w:tabs>
            <w:spacing w:line="240" w:lineRule="auto" w:before="118" w:after="0"/>
            <w:ind w:left="571" w:right="0" w:hanging="211"/>
            <w:jc w:val="left"/>
            <w:rPr>
              <w:rFonts w:ascii="Times New Roman" w:eastAsia="Times New Roman"/>
            </w:rPr>
          </w:pPr>
          <w:hyperlink w:history="true" w:anchor="_bookmark9">
            <w:r>
              <w:rPr>
                <w:rFonts w:ascii="Times New Roman" w:eastAsia="Times New Roman"/>
              </w:rPr>
              <w:t>OECD</w:t>
            </w:r>
            <w:r>
              <w:rPr>
                <w:rFonts w:ascii="Times New Roman" w:eastAsia="Times New Roman"/>
                <w:spacing w:val="-1"/>
              </w:rPr>
              <w:t> </w:t>
            </w:r>
            <w:r>
              <w:rPr/>
              <w:t>发布税</w:t>
            </w:r>
            <w:r>
              <w:rPr>
                <w:spacing w:val="-3"/>
              </w:rPr>
              <w:t>务</w:t>
            </w:r>
            <w:r>
              <w:rPr/>
              <w:t>政策</w:t>
            </w:r>
            <w:r>
              <w:rPr>
                <w:spacing w:val="-3"/>
              </w:rPr>
              <w:t>研</w:t>
            </w:r>
            <w:r>
              <w:rPr/>
              <w:t>究《税</w:t>
            </w:r>
            <w:r>
              <w:rPr>
                <w:spacing w:val="-3"/>
              </w:rPr>
              <w:t>收</w:t>
            </w:r>
            <w:r>
              <w:rPr/>
              <w:t>和技</w:t>
            </w:r>
            <w:r>
              <w:rPr>
                <w:spacing w:val="-3"/>
              </w:rPr>
              <w:t>术</w:t>
            </w:r>
            <w:r>
              <w:rPr/>
              <w:t>》</w:t>
            </w:r>
            <w:r>
              <w:rPr>
                <w:rFonts w:ascii="Times New Roman" w:eastAsia="Times New Roman"/>
              </w:rPr>
              <w:tab/>
              <w:t>15</w:t>
            </w:r>
          </w:hyperlink>
        </w:p>
      </w:sdtContent>
    </w:sdt>
    <w:p>
      <w:pPr>
        <w:spacing w:after="0" w:line="240" w:lineRule="auto"/>
        <w:jc w:val="left"/>
        <w:rPr>
          <w:rFonts w:ascii="Times New Roman" w:eastAsia="Times New Roman"/>
        </w:rPr>
        <w:sectPr>
          <w:pgSz w:w="11900" w:h="16850"/>
          <w:pgMar w:header="0" w:footer="992" w:top="1600" w:bottom="1180" w:left="1680" w:right="1680"/>
        </w:sectPr>
      </w:pPr>
    </w:p>
    <w:p>
      <w:pPr>
        <w:pStyle w:val="Heading3"/>
        <w:numPr>
          <w:ilvl w:val="0"/>
          <w:numId w:val="3"/>
        </w:numPr>
        <w:tabs>
          <w:tab w:pos="600" w:val="left" w:leader="none"/>
          <w:tab w:pos="601" w:val="left" w:leader="none"/>
        </w:tabs>
        <w:spacing w:line="362" w:lineRule="exact" w:before="0" w:after="0"/>
        <w:ind w:left="600" w:right="0" w:hanging="480"/>
        <w:jc w:val="left"/>
      </w:pPr>
      <w:bookmarkStart w:name="_bookmark0" w:id="1"/>
      <w:bookmarkEnd w:id="1"/>
      <w:r>
        <w:rPr>
          <w:b w:val="0"/>
        </w:rPr>
      </w:r>
      <w:bookmarkStart w:name="_bookmark0" w:id="2"/>
      <w:bookmarkEnd w:id="2"/>
      <w:r>
        <w:rPr/>
        <w:t>税基侵蚀与利润转移</w:t>
      </w:r>
      <w:r>
        <w:rPr/>
        <w:t>（</w:t>
      </w:r>
      <w:r>
        <w:rPr>
          <w:rFonts w:ascii="Times New Roman" w:eastAsia="Times New Roman"/>
        </w:rPr>
        <w:t>BEPS</w:t>
      </w:r>
      <w:r>
        <w:rPr/>
        <w:t>）栏目</w:t>
      </w:r>
    </w:p>
    <w:p>
      <w:pPr>
        <w:pStyle w:val="BodyText"/>
        <w:rPr>
          <w:rFonts w:ascii="Microsoft YaHei"/>
          <w:b/>
          <w:sz w:val="37"/>
        </w:rPr>
      </w:pPr>
    </w:p>
    <w:p>
      <w:pPr>
        <w:pStyle w:val="Heading3"/>
        <w:numPr>
          <w:ilvl w:val="0"/>
          <w:numId w:val="4"/>
        </w:numPr>
        <w:tabs>
          <w:tab w:pos="368" w:val="left" w:leader="none"/>
        </w:tabs>
        <w:spacing w:line="367" w:lineRule="auto" w:before="0" w:after="0"/>
        <w:ind w:left="120" w:right="354" w:firstLine="0"/>
        <w:jc w:val="left"/>
        <w:rPr>
          <w:sz w:val="12"/>
        </w:rPr>
      </w:pPr>
      <w:bookmarkStart w:name="_bookmark1" w:id="3"/>
      <w:bookmarkEnd w:id="3"/>
      <w:r>
        <w:rPr>
          <w:b w:val="0"/>
        </w:rPr>
      </w:r>
      <w:bookmarkStart w:name="_bookmark1" w:id="4"/>
      <w:bookmarkEnd w:id="4"/>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8"/>
        </w:rPr>
        <w:t> </w:t>
      </w:r>
      <w:r>
        <w:rPr>
          <w:spacing w:val="2"/>
        </w:rPr>
        <w:t>发布第四轮关于改善税收争议解决机制的</w:t>
      </w:r>
      <w:r>
        <w:rPr>
          <w:rFonts w:ascii="Times New Roman" w:hAnsi="Times New Roman" w:eastAsia="Times New Roman"/>
        </w:rPr>
        <w:t>BEPS</w:t>
      </w:r>
      <w:r>
        <w:rPr>
          <w:rFonts w:ascii="Times New Roman" w:hAnsi="Times New Roman" w:eastAsia="Times New Roman"/>
          <w:spacing w:val="-4"/>
        </w:rPr>
        <w:t> </w:t>
      </w:r>
      <w:r>
        <w:rPr>
          <w:spacing w:val="-8"/>
        </w:rPr>
        <w:t>第 </w:t>
      </w:r>
      <w:r>
        <w:rPr>
          <w:rFonts w:ascii="Times New Roman" w:hAnsi="Times New Roman" w:eastAsia="Times New Roman"/>
        </w:rPr>
        <w:t>14</w:t>
      </w:r>
      <w:r>
        <w:rPr>
          <w:rFonts w:ascii="Times New Roman" w:hAnsi="Times New Roman" w:eastAsia="Times New Roman"/>
          <w:spacing w:val="-7"/>
        </w:rPr>
        <w:t> </w:t>
      </w:r>
      <w:r>
        <w:rPr/>
        <w:t>项行动的同行互审报告</w:t>
      </w:r>
      <w:r>
        <w:rPr>
          <w:position w:val="8"/>
          <w:sz w:val="12"/>
        </w:rPr>
        <w:t>①</w:t>
      </w:r>
    </w:p>
    <w:p>
      <w:pPr>
        <w:pStyle w:val="BodyText"/>
        <w:spacing w:before="4"/>
        <w:rPr>
          <w:rFonts w:ascii="Microsoft YaHei"/>
          <w:b/>
          <w:sz w:val="22"/>
        </w:rPr>
      </w:pPr>
    </w:p>
    <w:p>
      <w:pPr>
        <w:pStyle w:val="BodyText"/>
        <w:spacing w:line="336" w:lineRule="auto"/>
        <w:ind w:left="120" w:right="221" w:firstLine="479"/>
      </w:pPr>
      <w:r>
        <w:rPr>
          <w:rFonts w:ascii="Times New Roman" w:eastAsia="Times New Roman"/>
        </w:rPr>
        <w:t>BEPS</w:t>
      </w:r>
      <w:r>
        <w:rPr>
          <w:rFonts w:ascii="Times New Roman" w:eastAsia="Times New Roman"/>
          <w:spacing w:val="22"/>
        </w:rPr>
        <w:t> </w:t>
      </w:r>
      <w:r>
        <w:rPr>
          <w:spacing w:val="-2"/>
        </w:rPr>
        <w:t>第十四项行动计划同行评议的第一阶段的第四轮报告于 </w:t>
      </w:r>
      <w:r>
        <w:rPr>
          <w:rFonts w:ascii="Times New Roman" w:eastAsia="Times New Roman"/>
        </w:rPr>
        <w:t>8</w:t>
      </w:r>
      <w:r>
        <w:rPr>
          <w:rFonts w:ascii="Times New Roman" w:eastAsia="Times New Roman"/>
          <w:spacing w:val="21"/>
        </w:rPr>
        <w:t> </w:t>
      </w:r>
      <w:r>
        <w:rPr>
          <w:spacing w:val="-19"/>
        </w:rPr>
        <w:t>月 </w:t>
      </w:r>
      <w:r>
        <w:rPr>
          <w:rFonts w:ascii="Times New Roman" w:eastAsia="Times New Roman"/>
        </w:rPr>
        <w:t>30</w:t>
      </w:r>
      <w:r>
        <w:rPr>
          <w:rFonts w:ascii="Times New Roman" w:eastAsia="Times New Roman"/>
          <w:spacing w:val="21"/>
        </w:rPr>
        <w:t> </w:t>
      </w:r>
      <w:r>
        <w:rPr/>
        <w:t>日发 </w:t>
      </w:r>
      <w:r>
        <w:rPr>
          <w:spacing w:val="-11"/>
        </w:rPr>
        <w:t>布。该报告评估了经合组织每个国家为执行第十四项行动最低标准所做出的努力。</w:t>
      </w:r>
    </w:p>
    <w:p>
      <w:pPr>
        <w:pStyle w:val="Heading3"/>
        <w:numPr>
          <w:ilvl w:val="1"/>
          <w:numId w:val="4"/>
        </w:numPr>
        <w:tabs>
          <w:tab w:pos="541" w:val="left" w:leader="none"/>
        </w:tabs>
        <w:spacing w:line="402" w:lineRule="exact" w:before="0" w:after="0"/>
        <w:ind w:left="540" w:right="0" w:hanging="420"/>
        <w:jc w:val="left"/>
        <w:rPr>
          <w:rFonts w:ascii="Times New Roman" w:eastAsia="Times New Roman"/>
        </w:rPr>
      </w:pPr>
      <w:r>
        <w:rPr/>
        <w:t>发布背景</w:t>
      </w:r>
    </w:p>
    <w:p>
      <w:pPr>
        <w:pStyle w:val="BodyText"/>
        <w:spacing w:line="338" w:lineRule="auto" w:before="122"/>
        <w:ind w:left="120" w:right="221" w:firstLine="479"/>
      </w:pPr>
      <w:r>
        <w:rPr>
          <w:spacing w:val="1"/>
        </w:rPr>
        <w:t>同行评议第一阶段评估开始于</w:t>
      </w:r>
      <w:r>
        <w:rPr>
          <w:rFonts w:ascii="Times New Roman" w:eastAsia="Times New Roman"/>
        </w:rPr>
        <w:t>2016 </w:t>
      </w:r>
      <w:r>
        <w:rPr>
          <w:spacing w:val="35"/>
        </w:rPr>
        <w:t>年</w:t>
      </w:r>
      <w:r>
        <w:rPr>
          <w:rFonts w:ascii="Times New Roman" w:eastAsia="Times New Roman"/>
        </w:rPr>
        <w:t>12 </w:t>
      </w:r>
      <w:r>
        <w:rPr>
          <w:spacing w:val="-12"/>
        </w:rPr>
        <w:t>月，以确保参与国家执行最低标准， </w:t>
      </w:r>
      <w:r>
        <w:rPr>
          <w:spacing w:val="-29"/>
        </w:rPr>
        <w:t>加强 </w:t>
      </w:r>
      <w:r>
        <w:rPr>
          <w:rFonts w:ascii="Times New Roman" w:eastAsia="Times New Roman"/>
        </w:rPr>
        <w:t>MAP </w:t>
      </w:r>
      <w:r>
        <w:rPr>
          <w:spacing w:val="-2"/>
        </w:rPr>
        <w:t>的有效性和实施效率。同行评议第一阶段已发布四轮报告，第一轮报</w:t>
      </w:r>
      <w:r>
        <w:rPr>
          <w:spacing w:val="-15"/>
        </w:rPr>
        <w:t>告发布于 </w:t>
      </w:r>
      <w:r>
        <w:rPr>
          <w:rFonts w:ascii="Times New Roman" w:eastAsia="Times New Roman"/>
        </w:rPr>
        <w:t>2017 </w:t>
      </w:r>
      <w:r>
        <w:rPr>
          <w:spacing w:val="-33"/>
        </w:rPr>
        <w:t>年 </w:t>
      </w:r>
      <w:r>
        <w:rPr>
          <w:rFonts w:ascii="Times New Roman" w:eastAsia="Times New Roman"/>
        </w:rPr>
        <w:t>9 </w:t>
      </w:r>
      <w:r>
        <w:rPr>
          <w:spacing w:val="-19"/>
        </w:rPr>
        <w:t>月，第二轮报告发布于 </w:t>
      </w:r>
      <w:r>
        <w:rPr>
          <w:rFonts w:ascii="Times New Roman" w:eastAsia="Times New Roman"/>
        </w:rPr>
        <w:t>2017 </w:t>
      </w:r>
      <w:r>
        <w:rPr>
          <w:spacing w:val="-33"/>
        </w:rPr>
        <w:t>年 </w:t>
      </w:r>
      <w:r>
        <w:rPr>
          <w:rFonts w:ascii="Times New Roman" w:eastAsia="Times New Roman"/>
        </w:rPr>
        <w:t>12 </w:t>
      </w:r>
      <w:r>
        <w:rPr>
          <w:spacing w:val="-19"/>
        </w:rPr>
        <w:t>月，第三轮报告发布于 </w:t>
      </w:r>
      <w:r>
        <w:rPr>
          <w:rFonts w:ascii="Times New Roman" w:eastAsia="Times New Roman"/>
        </w:rPr>
        <w:t>2018 </w:t>
      </w:r>
      <w:r>
        <w:rPr>
          <w:spacing w:val="-31"/>
        </w:rPr>
        <w:t>年 </w:t>
      </w:r>
      <w:r>
        <w:rPr>
          <w:rFonts w:ascii="Times New Roman" w:eastAsia="Times New Roman"/>
        </w:rPr>
        <w:t>3 </w:t>
      </w:r>
      <w:r>
        <w:rPr>
          <w:spacing w:val="-5"/>
        </w:rPr>
        <w:t>月，第四轮报告即本轮发布于 </w:t>
      </w:r>
      <w:r>
        <w:rPr>
          <w:rFonts w:ascii="Times New Roman" w:eastAsia="Times New Roman"/>
        </w:rPr>
        <w:t>2018 </w:t>
      </w:r>
      <w:r>
        <w:rPr>
          <w:spacing w:val="-30"/>
        </w:rPr>
        <w:t>年 </w:t>
      </w:r>
      <w:r>
        <w:rPr>
          <w:rFonts w:ascii="Times New Roman" w:eastAsia="Times New Roman"/>
        </w:rPr>
        <w:t>8 </w:t>
      </w:r>
      <w:r>
        <w:rPr/>
        <w:t>月。</w:t>
      </w:r>
    </w:p>
    <w:p>
      <w:pPr>
        <w:pStyle w:val="Heading3"/>
        <w:numPr>
          <w:ilvl w:val="1"/>
          <w:numId w:val="4"/>
        </w:numPr>
        <w:tabs>
          <w:tab w:pos="541" w:val="left" w:leader="none"/>
        </w:tabs>
        <w:spacing w:line="368" w:lineRule="exact" w:before="0" w:after="0"/>
        <w:ind w:left="540" w:right="0" w:hanging="420"/>
        <w:jc w:val="left"/>
        <w:rPr>
          <w:rFonts w:ascii="Times New Roman" w:eastAsia="Times New Roman"/>
        </w:rPr>
      </w:pPr>
      <w:r>
        <w:rPr/>
        <w:t>主要内容</w:t>
      </w:r>
    </w:p>
    <w:p>
      <w:pPr>
        <w:pStyle w:val="BodyText"/>
        <w:spacing w:line="348" w:lineRule="auto" w:before="125"/>
        <w:ind w:left="120" w:right="388" w:firstLine="479"/>
        <w:rPr>
          <w:rFonts w:ascii="Times New Roman" w:eastAsia="Times New Roman"/>
        </w:rPr>
      </w:pPr>
      <w:r>
        <w:rPr>
          <w:spacing w:val="-6"/>
        </w:rPr>
        <w:t>今日发布的报告主要针对澳大利亚、爱尔兰、以色列、日本、马耳他、墨西</w:t>
      </w:r>
      <w:r>
        <w:rPr>
          <w:spacing w:val="-13"/>
        </w:rPr>
        <w:t>哥、新西兰和葡萄牙这 </w:t>
      </w:r>
      <w:r>
        <w:rPr>
          <w:rFonts w:ascii="Times New Roman" w:eastAsia="Times New Roman"/>
        </w:rPr>
        <w:t>8 </w:t>
      </w:r>
      <w:r>
        <w:rPr>
          <w:spacing w:val="-11"/>
        </w:rPr>
        <w:t>个国家，报告对每个国家的实施进展都提出了 </w:t>
      </w:r>
      <w:r>
        <w:rPr>
          <w:rFonts w:ascii="Times New Roman" w:eastAsia="Times New Roman"/>
        </w:rPr>
        <w:t>130 </w:t>
      </w:r>
      <w:r>
        <w:rPr/>
        <w:t>多项</w:t>
      </w:r>
      <w:r>
        <w:rPr>
          <w:spacing w:val="-9"/>
        </w:rPr>
        <w:t>针对性的建议，将在同行评议进程的第二阶段采取后续跟踪评估。如果被评估出</w:t>
      </w:r>
      <w:r>
        <w:rPr>
          <w:spacing w:val="-14"/>
        </w:rPr>
        <w:t>是解决实施过程相关问题最佳做法的国家，会出具一份最佳实施做法文件，提供</w:t>
      </w:r>
      <w:r>
        <w:rPr>
          <w:spacing w:val="-38"/>
        </w:rPr>
        <w:t>给 </w:t>
      </w:r>
      <w:r>
        <w:rPr>
          <w:rFonts w:ascii="Times New Roman" w:eastAsia="Times New Roman"/>
        </w:rPr>
        <w:t>OECD </w:t>
      </w:r>
      <w:r>
        <w:rPr/>
        <w:t>其他国家用于在该方面的行动计划实施作为参考。同时，该阶段的同</w:t>
      </w:r>
      <w:r>
        <w:rPr>
          <w:spacing w:val="-7"/>
        </w:rPr>
        <w:t>行评议报告纳入了 </w:t>
      </w:r>
      <w:r>
        <w:rPr>
          <w:rFonts w:ascii="Times New Roman" w:eastAsia="Times New Roman"/>
        </w:rPr>
        <w:t>2016 </w:t>
      </w:r>
      <w:r>
        <w:rPr>
          <w:spacing w:val="-31"/>
        </w:rPr>
        <w:t>和 </w:t>
      </w:r>
      <w:r>
        <w:rPr>
          <w:rFonts w:ascii="Times New Roman" w:eastAsia="Times New Roman"/>
        </w:rPr>
        <w:t>2017 </w:t>
      </w:r>
      <w:r>
        <w:rPr/>
        <w:t>年的相互协商程序（</w:t>
      </w:r>
      <w:r>
        <w:rPr>
          <w:rFonts w:ascii="Times New Roman" w:eastAsia="Times New Roman"/>
        </w:rPr>
        <w:t>MAP</w:t>
      </w:r>
      <w:r>
        <w:rPr/>
        <w:t>，</w:t>
      </w:r>
      <w:r>
        <w:rPr>
          <w:rFonts w:ascii="Times New Roman" w:eastAsia="Times New Roman"/>
        </w:rPr>
        <w:t>mutual agreement</w:t>
      </w:r>
    </w:p>
    <w:p>
      <w:pPr>
        <w:pStyle w:val="BodyText"/>
        <w:spacing w:line="338" w:lineRule="auto" w:before="13"/>
        <w:ind w:left="120" w:right="260"/>
      </w:pPr>
      <w:r>
        <w:rPr>
          <w:rFonts w:ascii="Times New Roman" w:eastAsia="Times New Roman"/>
        </w:rPr>
        <w:t>procedure</w:t>
      </w:r>
      <w:r>
        <w:rPr/>
        <w:t>）统计数据。最低标准的一部分内容是以两年为周期寻求解决 </w:t>
      </w:r>
      <w:r>
        <w:rPr>
          <w:rFonts w:ascii="Times New Roman" w:eastAsia="Times New Roman"/>
        </w:rPr>
        <w:t>MAP </w:t>
      </w:r>
      <w:r>
        <w:rPr/>
        <w:t>问题的最佳方法。</w:t>
      </w:r>
    </w:p>
    <w:p>
      <w:pPr>
        <w:pStyle w:val="BodyText"/>
        <w:spacing w:line="345" w:lineRule="auto" w:before="53"/>
        <w:ind w:left="120" w:right="116" w:firstLine="479"/>
      </w:pPr>
      <w:r>
        <w:rPr>
          <w:spacing w:val="-4"/>
        </w:rPr>
        <w:t>同行评议第一阶段的这份报告表明第十四项行动计划继续稳步向前推进，代 </w:t>
      </w:r>
      <w:r>
        <w:rPr>
          <w:spacing w:val="-15"/>
        </w:rPr>
        <w:t>表着签署 </w:t>
      </w:r>
      <w:r>
        <w:rPr>
          <w:rFonts w:ascii="Times New Roman" w:eastAsia="Times New Roman"/>
        </w:rPr>
        <w:t>BEPS</w:t>
      </w:r>
      <w:r>
        <w:rPr>
          <w:rFonts w:ascii="Times New Roman" w:eastAsia="Times New Roman"/>
          <w:spacing w:val="2"/>
        </w:rPr>
        <w:t> </w:t>
      </w:r>
      <w:r>
        <w:rPr>
          <w:spacing w:val="-4"/>
        </w:rPr>
        <w:t>包容性框架的成员国国家的政治承诺转化为看得见的、可衡量的切</w:t>
      </w:r>
      <w:r>
        <w:rPr>
          <w:spacing w:val="-10"/>
        </w:rPr>
        <w:t>实进展。许多国家已经切实在解决报告中已经披露出详实的缺陷。</w:t>
      </w:r>
      <w:r>
        <w:rPr>
          <w:rFonts w:ascii="Times New Roman" w:eastAsia="Times New Roman"/>
        </w:rPr>
        <w:t>OECD </w:t>
      </w:r>
      <w:r>
        <w:rPr/>
        <w:t>会以第十</w:t>
      </w:r>
      <w:r>
        <w:rPr>
          <w:spacing w:val="-4"/>
        </w:rPr>
        <w:t>四项行动第一阶段的评估进度表继续披露第一阶段的审查报告。根据进度表， 已</w:t>
      </w:r>
      <w:r>
        <w:rPr>
          <w:spacing w:val="-22"/>
        </w:rPr>
        <w:t>经有 </w:t>
      </w:r>
      <w:r>
        <w:rPr>
          <w:rFonts w:ascii="Times New Roman" w:eastAsia="Times New Roman"/>
        </w:rPr>
        <w:t>29</w:t>
      </w:r>
      <w:r>
        <w:rPr>
          <w:rFonts w:ascii="Times New Roman" w:eastAsia="Times New Roman"/>
          <w:spacing w:val="3"/>
        </w:rPr>
        <w:t> </w:t>
      </w:r>
      <w:r>
        <w:rPr>
          <w:spacing w:val="-4"/>
        </w:rPr>
        <w:t>份同行评议报告已经完结，还有 </w:t>
      </w:r>
      <w:r>
        <w:rPr>
          <w:rFonts w:ascii="Times New Roman" w:eastAsia="Times New Roman"/>
        </w:rPr>
        <w:t>8</w:t>
      </w:r>
      <w:r>
        <w:rPr>
          <w:rFonts w:ascii="Times New Roman" w:eastAsia="Times New Roman"/>
          <w:spacing w:val="3"/>
        </w:rPr>
        <w:t> </w:t>
      </w:r>
      <w:r>
        <w:rPr>
          <w:spacing w:val="-6"/>
        </w:rPr>
        <w:t>份报告尚待审查。今年 </w:t>
      </w:r>
      <w:r>
        <w:rPr>
          <w:rFonts w:ascii="Times New Roman" w:eastAsia="Times New Roman"/>
        </w:rPr>
        <w:t>8</w:t>
      </w:r>
      <w:r>
        <w:rPr>
          <w:rFonts w:ascii="Times New Roman" w:eastAsia="Times New Roman"/>
          <w:spacing w:val="3"/>
        </w:rPr>
        <w:t> </w:t>
      </w:r>
      <w:r>
        <w:rPr/>
        <w:t>月发起了同行</w:t>
      </w:r>
      <w:r>
        <w:rPr>
          <w:spacing w:val="-13"/>
        </w:rPr>
        <w:t>评议的第 </w:t>
      </w:r>
      <w:r>
        <w:rPr>
          <w:rFonts w:ascii="Times New Roman" w:eastAsia="Times New Roman"/>
        </w:rPr>
        <w:t>6</w:t>
      </w:r>
      <w:r>
        <w:rPr>
          <w:rFonts w:ascii="Times New Roman" w:eastAsia="Times New Roman"/>
          <w:spacing w:val="-1"/>
        </w:rPr>
        <w:t> </w:t>
      </w:r>
      <w:r>
        <w:rPr>
          <w:spacing w:val="-7"/>
        </w:rPr>
        <w:t>轮评议活动，有超过 </w:t>
      </w:r>
      <w:r>
        <w:rPr>
          <w:rFonts w:ascii="Times New Roman" w:eastAsia="Times New Roman"/>
        </w:rPr>
        <w:t>8</w:t>
      </w:r>
      <w:r>
        <w:rPr>
          <w:rFonts w:ascii="Times New Roman" w:eastAsia="Times New Roman"/>
          <w:spacing w:val="-1"/>
        </w:rPr>
        <w:t> </w:t>
      </w:r>
      <w:r>
        <w:rPr/>
        <w:t>个国家开始了评议程序。</w:t>
      </w:r>
    </w:p>
    <w:p>
      <w:pPr>
        <w:pStyle w:val="BodyText"/>
        <w:spacing w:before="5"/>
        <w:rPr>
          <w:sz w:val="13"/>
        </w:rPr>
      </w:pPr>
      <w:r>
        <w:rPr/>
        <w:drawing>
          <wp:anchor distT="0" distB="0" distL="0" distR="0" allowOverlap="1" layoutInCell="1" locked="0" behindDoc="0" simplePos="0" relativeHeight="1048">
            <wp:simplePos x="0" y="0"/>
            <wp:positionH relativeFrom="page">
              <wp:posOffset>1139494</wp:posOffset>
            </wp:positionH>
            <wp:positionV relativeFrom="paragraph">
              <wp:posOffset>136308</wp:posOffset>
            </wp:positionV>
            <wp:extent cx="1836734" cy="7619"/>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before="77"/>
        <w:ind w:left="120" w:right="221" w:firstLine="0"/>
        <w:jc w:val="left"/>
        <w:rPr>
          <w:rFonts w:ascii="Times New Roman" w:hAnsi="Times New Roman"/>
          <w:sz w:val="18"/>
        </w:rPr>
      </w:pPr>
      <w:r>
        <w:rPr>
          <w:position w:val="6"/>
          <w:sz w:val="9"/>
        </w:rPr>
        <w:t>① </w:t>
      </w:r>
      <w:r>
        <w:rPr>
          <w:rFonts w:ascii="Times New Roman" w:hAnsi="Times New Roman"/>
          <w:sz w:val="18"/>
        </w:rPr>
        <w:t>OECD/(2018), OECD releases fourth round of BEPS Action 14 peer review reports on improving tax dispute resolution mechanisms, OECD Publishing, Paris.</w:t>
      </w:r>
    </w:p>
    <w:p>
      <w:pPr>
        <w:spacing w:before="0"/>
        <w:ind w:left="120" w:right="388" w:firstLine="0"/>
        <w:jc w:val="left"/>
        <w:rPr>
          <w:rFonts w:ascii="Times New Roman"/>
          <w:sz w:val="18"/>
        </w:rPr>
      </w:pPr>
      <w:hyperlink r:id="rId8">
        <w:r>
          <w:rPr>
            <w:rFonts w:ascii="Times New Roman"/>
            <w:sz w:val="18"/>
          </w:rPr>
          <w:t>http://www.oecd.org/tax/oecd-releases-fourth-round-of-beps-action-14-peer-review-reports-on-improving-tax-disp</w:t>
        </w:r>
      </w:hyperlink>
      <w:r>
        <w:rPr>
          <w:rFonts w:ascii="Times New Roman"/>
          <w:sz w:val="18"/>
        </w:rPr>
        <w:t> ute-resolution-mechanisms.htm</w:t>
      </w:r>
    </w:p>
    <w:p>
      <w:pPr>
        <w:spacing w:after="0"/>
        <w:jc w:val="left"/>
        <w:rPr>
          <w:rFonts w:ascii="Times New Roman"/>
          <w:sz w:val="18"/>
        </w:rPr>
        <w:sectPr>
          <w:pgSz w:w="11900" w:h="16850"/>
          <w:pgMar w:header="0" w:footer="992" w:top="1380" w:bottom="1180" w:left="1680" w:right="1440"/>
        </w:sectPr>
      </w:pPr>
    </w:p>
    <w:p>
      <w:pPr>
        <w:pStyle w:val="BodyText"/>
        <w:spacing w:before="4"/>
        <w:rPr>
          <w:rFonts w:ascii="Times New Roman"/>
          <w:sz w:val="15"/>
        </w:rPr>
      </w:pPr>
    </w:p>
    <w:p>
      <w:pPr>
        <w:pStyle w:val="Heading3"/>
        <w:numPr>
          <w:ilvl w:val="0"/>
          <w:numId w:val="3"/>
        </w:numPr>
        <w:tabs>
          <w:tab w:pos="601" w:val="left" w:leader="none"/>
        </w:tabs>
        <w:spacing w:line="379" w:lineRule="exact" w:before="0" w:after="0"/>
        <w:ind w:left="600" w:right="0" w:hanging="480"/>
        <w:jc w:val="both"/>
      </w:pPr>
      <w:bookmarkStart w:name="_bookmark2" w:id="5"/>
      <w:bookmarkEnd w:id="5"/>
      <w:r>
        <w:rPr>
          <w:b w:val="0"/>
        </w:rPr>
      </w:r>
      <w:bookmarkStart w:name="_bookmark2" w:id="6"/>
      <w:bookmarkEnd w:id="6"/>
      <w:r>
        <w:rPr/>
        <w:t>政策分析栏目</w:t>
      </w:r>
    </w:p>
    <w:p>
      <w:pPr>
        <w:pStyle w:val="BodyText"/>
        <w:spacing w:before="11"/>
        <w:rPr>
          <w:rFonts w:ascii="Microsoft YaHei"/>
          <w:b/>
          <w:sz w:val="27"/>
        </w:rPr>
      </w:pPr>
    </w:p>
    <w:p>
      <w:pPr>
        <w:pStyle w:val="Heading3"/>
        <w:numPr>
          <w:ilvl w:val="0"/>
          <w:numId w:val="4"/>
        </w:numPr>
        <w:tabs>
          <w:tab w:pos="361" w:val="left" w:leader="none"/>
        </w:tabs>
        <w:spacing w:line="240" w:lineRule="auto" w:before="1" w:after="0"/>
        <w:ind w:left="360" w:right="0" w:hanging="240"/>
        <w:jc w:val="both"/>
        <w:rPr>
          <w:sz w:val="12"/>
        </w:rPr>
      </w:pPr>
      <w:bookmarkStart w:name="_bookmark3" w:id="7"/>
      <w:bookmarkEnd w:id="7"/>
      <w:r>
        <w:rPr>
          <w:b w:val="0"/>
        </w:rPr>
      </w:r>
      <w:bookmarkStart w:name="_bookmark3" w:id="8"/>
      <w:bookmarkEnd w:id="8"/>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6"/>
        </w:rPr>
        <w:t> </w:t>
      </w:r>
      <w:r>
        <w:rPr/>
        <w:t>税收政策评论：斯洛文尼亚</w:t>
      </w:r>
      <w:r>
        <w:rPr>
          <w:position w:val="8"/>
          <w:sz w:val="12"/>
        </w:rPr>
        <w:t>①</w:t>
      </w:r>
    </w:p>
    <w:p>
      <w:pPr>
        <w:pStyle w:val="BodyText"/>
        <w:spacing w:before="9"/>
        <w:rPr>
          <w:rFonts w:ascii="Microsoft YaHei"/>
          <w:b/>
          <w:sz w:val="31"/>
        </w:rPr>
      </w:pPr>
    </w:p>
    <w:p>
      <w:pPr>
        <w:pStyle w:val="BodyText"/>
        <w:spacing w:line="348" w:lineRule="auto"/>
        <w:ind w:left="120" w:right="237" w:firstLine="479"/>
        <w:jc w:val="both"/>
      </w:pPr>
      <w:r>
        <w:rPr>
          <w:rFonts w:ascii="Times New Roman" w:eastAsia="Times New Roman"/>
        </w:rPr>
        <w:t>2018 </w:t>
      </w:r>
      <w:r>
        <w:rPr>
          <w:spacing w:val="-30"/>
        </w:rPr>
        <w:t>年 </w:t>
      </w:r>
      <w:r>
        <w:rPr>
          <w:rFonts w:ascii="Times New Roman" w:eastAsia="Times New Roman"/>
        </w:rPr>
        <w:t>8 </w:t>
      </w:r>
      <w:r>
        <w:rPr>
          <w:spacing w:val="-30"/>
        </w:rPr>
        <w:t>月 </w:t>
      </w:r>
      <w:r>
        <w:rPr>
          <w:rFonts w:ascii="Times New Roman" w:eastAsia="Times New Roman"/>
        </w:rPr>
        <w:t>21 </w:t>
      </w:r>
      <w:r>
        <w:rPr>
          <w:spacing w:val="-2"/>
        </w:rPr>
        <w:t>日，</w:t>
      </w:r>
      <w:r>
        <w:rPr>
          <w:rFonts w:ascii="Times New Roman" w:eastAsia="Times New Roman"/>
          <w:spacing w:val="-4"/>
        </w:rPr>
        <w:t>OECD </w:t>
      </w:r>
      <w:r>
        <w:rPr>
          <w:spacing w:val="-1"/>
        </w:rPr>
        <w:t>发布了针对斯洛文尼亚的税收政策评论。该报告</w:t>
      </w:r>
      <w:r>
        <w:rPr>
          <w:spacing w:val="-32"/>
        </w:rPr>
        <w:t>是 </w:t>
      </w:r>
      <w:r>
        <w:rPr>
          <w:rFonts w:ascii="Times New Roman" w:eastAsia="Times New Roman"/>
        </w:rPr>
        <w:t>OECD </w:t>
      </w:r>
      <w:r>
        <w:rPr>
          <w:spacing w:val="-4"/>
        </w:rPr>
        <w:t>税收政策审查的一部分。该评论旨在为 </w:t>
      </w:r>
      <w:r>
        <w:rPr>
          <w:rFonts w:ascii="Times New Roman" w:eastAsia="Times New Roman"/>
        </w:rPr>
        <w:t>OECD </w:t>
      </w:r>
      <w:r>
        <w:rPr/>
        <w:t>成员国和非成员国的税</w:t>
      </w:r>
      <w:r>
        <w:rPr>
          <w:spacing w:val="-8"/>
        </w:rPr>
        <w:t>收制度提供独立、全面和比较性的评估，以及提出税收政策改革的具体建议。评</w:t>
      </w:r>
      <w:r>
        <w:rPr>
          <w:spacing w:val="-13"/>
        </w:rPr>
        <w:t>估的目标是加强现有税收政策的设计，并支持采用新的改革措施，后续将会根据具体情况来确定税收政策改革方案。</w:t>
      </w:r>
    </w:p>
    <w:p>
      <w:pPr>
        <w:pStyle w:val="Heading3"/>
        <w:numPr>
          <w:ilvl w:val="1"/>
          <w:numId w:val="4"/>
        </w:numPr>
        <w:tabs>
          <w:tab w:pos="481" w:val="left" w:leader="none"/>
        </w:tabs>
        <w:spacing w:line="389" w:lineRule="exact" w:before="0" w:after="0"/>
        <w:ind w:left="480" w:right="0" w:hanging="360"/>
        <w:jc w:val="both"/>
        <w:rPr>
          <w:rFonts w:ascii="Times New Roman" w:eastAsia="Times New Roman"/>
        </w:rPr>
      </w:pPr>
      <w:r>
        <w:rPr/>
        <w:t>主要内容</w:t>
      </w:r>
    </w:p>
    <w:p>
      <w:pPr>
        <w:pStyle w:val="BodyText"/>
        <w:spacing w:line="357" w:lineRule="auto" w:before="123"/>
        <w:ind w:left="120" w:right="117" w:firstLine="479"/>
      </w:pPr>
      <w:r>
        <w:rPr/>
        <w:t>本报告对斯洛文尼亚个人缴纳的税收以及税收改革建议进行了全面的税收 政策评估。该报告分为六章：第一章主要是介绍斯洛文尼亚的税制改革的背景； </w:t>
      </w:r>
      <w:r>
        <w:rPr>
          <w:spacing w:val="-6"/>
        </w:rPr>
        <w:t>第二章侧重于介绍劳动力市场、社会政策和税收政策相关的挑战；第三章评估了</w:t>
      </w:r>
      <w:r>
        <w:rPr>
          <w:spacing w:val="-17"/>
        </w:rPr>
        <w:t>社会保障体系的融资；第四章确定加强个人所得税设计的策略；第五章是间接税； 第六章则介绍了个人层面资本收入征税情况。</w:t>
      </w:r>
    </w:p>
    <w:p>
      <w:pPr>
        <w:pStyle w:val="Heading3"/>
        <w:numPr>
          <w:ilvl w:val="1"/>
          <w:numId w:val="4"/>
        </w:numPr>
        <w:tabs>
          <w:tab w:pos="481" w:val="left" w:leader="none"/>
        </w:tabs>
        <w:spacing w:line="379" w:lineRule="exact" w:before="0" w:after="0"/>
        <w:ind w:left="480" w:right="0" w:hanging="360"/>
        <w:jc w:val="both"/>
        <w:rPr>
          <w:rFonts w:ascii="Times New Roman" w:eastAsia="Times New Roman"/>
        </w:rPr>
      </w:pPr>
      <w:r>
        <w:rPr/>
        <w:t>主要结论及建议</w:t>
      </w:r>
    </w:p>
    <w:p>
      <w:pPr>
        <w:pStyle w:val="BodyText"/>
        <w:spacing w:before="122"/>
        <w:ind w:left="600"/>
      </w:pPr>
      <w:r>
        <w:rPr/>
        <w:t>斯洛文尼亚需要进行全面的税制改革，对员工征收的税收从社会保障缴款</w:t>
      </w:r>
    </w:p>
    <w:p>
      <w:pPr>
        <w:pStyle w:val="BodyText"/>
        <w:spacing w:line="336" w:lineRule="auto" w:before="153"/>
        <w:ind w:left="120" w:right="236"/>
      </w:pPr>
      <w:r>
        <w:rPr>
          <w:spacing w:val="-1"/>
        </w:rPr>
        <w:t>（</w:t>
      </w:r>
      <w:r>
        <w:rPr>
          <w:rFonts w:ascii="Times New Roman" w:eastAsia="Times New Roman"/>
          <w:w w:val="99"/>
        </w:rPr>
        <w:t>SS</w:t>
      </w:r>
      <w:r>
        <w:rPr>
          <w:rFonts w:ascii="Times New Roman" w:eastAsia="Times New Roman"/>
        </w:rPr>
        <w:t>C</w:t>
      </w:r>
      <w:r>
        <w:rPr>
          <w:rFonts w:ascii="Times New Roman" w:eastAsia="Times New Roman"/>
          <w:w w:val="99"/>
        </w:rPr>
        <w:t>s</w:t>
      </w:r>
      <w:r>
        <w:rPr>
          <w:spacing w:val="-116"/>
        </w:rPr>
        <w:t>，</w:t>
      </w:r>
      <w:r>
        <w:rPr>
          <w:rFonts w:ascii="Times New Roman" w:eastAsia="Times New Roman"/>
          <w:w w:val="99"/>
        </w:rPr>
        <w:t>so</w:t>
      </w:r>
      <w:r>
        <w:rPr>
          <w:rFonts w:ascii="Times New Roman" w:eastAsia="Times New Roman"/>
          <w:spacing w:val="-1"/>
          <w:w w:val="99"/>
        </w:rPr>
        <w:t>c</w:t>
      </w:r>
      <w:r>
        <w:rPr>
          <w:rFonts w:ascii="Times New Roman" w:eastAsia="Times New Roman"/>
        </w:rPr>
        <w:t>ial </w:t>
      </w:r>
      <w:r>
        <w:rPr>
          <w:rFonts w:ascii="Times New Roman" w:eastAsia="Times New Roman"/>
          <w:w w:val="99"/>
        </w:rPr>
        <w:t>s</w:t>
      </w:r>
      <w:r>
        <w:rPr>
          <w:rFonts w:ascii="Times New Roman" w:eastAsia="Times New Roman"/>
          <w:spacing w:val="-1"/>
          <w:w w:val="99"/>
        </w:rPr>
        <w:t>e</w:t>
      </w:r>
      <w:r>
        <w:rPr>
          <w:rFonts w:ascii="Times New Roman" w:eastAsia="Times New Roman"/>
          <w:spacing w:val="-1"/>
        </w:rPr>
        <w:t>c</w:t>
      </w:r>
      <w:r>
        <w:rPr>
          <w:rFonts w:ascii="Times New Roman" w:eastAsia="Times New Roman"/>
        </w:rPr>
        <w:t>uri</w:t>
      </w:r>
      <w:r>
        <w:rPr>
          <w:rFonts w:ascii="Times New Roman" w:eastAsia="Times New Roman"/>
          <w:spacing w:val="1"/>
        </w:rPr>
        <w:t>t</w:t>
      </w:r>
      <w:r>
        <w:rPr>
          <w:rFonts w:ascii="Times New Roman" w:eastAsia="Times New Roman"/>
        </w:rPr>
        <w:t>y </w:t>
      </w:r>
      <w:r>
        <w:rPr>
          <w:rFonts w:ascii="Times New Roman" w:eastAsia="Times New Roman"/>
          <w:spacing w:val="0"/>
        </w:rPr>
        <w:t>c</w:t>
      </w:r>
      <w:r>
        <w:rPr>
          <w:rFonts w:ascii="Times New Roman" w:eastAsia="Times New Roman"/>
        </w:rPr>
        <w:t>ontribution</w:t>
      </w:r>
      <w:r>
        <w:rPr>
          <w:rFonts w:ascii="Times New Roman" w:eastAsia="Times New Roman"/>
          <w:spacing w:val="1"/>
        </w:rPr>
        <w:t>s</w:t>
      </w:r>
      <w:r>
        <w:rPr>
          <w:spacing w:val="-116"/>
        </w:rPr>
        <w:t>）</w:t>
      </w:r>
      <w:r>
        <w:rPr>
          <w:spacing w:val="-18"/>
        </w:rPr>
        <w:t>转向个人所得税</w:t>
      </w:r>
      <w:r>
        <w:rPr/>
        <w:t>（</w:t>
      </w:r>
      <w:r>
        <w:rPr>
          <w:rFonts w:ascii="Times New Roman" w:eastAsia="Times New Roman"/>
          <w:spacing w:val="2"/>
          <w:w w:val="99"/>
        </w:rPr>
        <w:t>P</w:t>
      </w:r>
      <w:r>
        <w:rPr>
          <w:rFonts w:ascii="Times New Roman" w:eastAsia="Times New Roman"/>
          <w:spacing w:val="-6"/>
          <w:w w:val="99"/>
        </w:rPr>
        <w:t>I</w:t>
      </w:r>
      <w:r>
        <w:rPr>
          <w:rFonts w:ascii="Times New Roman" w:eastAsia="Times New Roman"/>
          <w:spacing w:val="-1"/>
        </w:rPr>
        <w:t>T</w:t>
      </w:r>
      <w:r>
        <w:rPr>
          <w:spacing w:val="-115"/>
        </w:rPr>
        <w:t>，</w:t>
      </w:r>
      <w:r>
        <w:rPr>
          <w:rFonts w:ascii="Times New Roman" w:eastAsia="Times New Roman"/>
        </w:rPr>
        <w:t>p</w:t>
      </w:r>
      <w:r>
        <w:rPr>
          <w:rFonts w:ascii="Times New Roman" w:eastAsia="Times New Roman"/>
          <w:spacing w:val="-1"/>
        </w:rPr>
        <w:t>e</w:t>
      </w:r>
      <w:r>
        <w:rPr>
          <w:rFonts w:ascii="Times New Roman" w:eastAsia="Times New Roman"/>
        </w:rPr>
        <w:t>rso</w:t>
      </w:r>
      <w:r>
        <w:rPr>
          <w:rFonts w:ascii="Times New Roman" w:eastAsia="Times New Roman"/>
          <w:spacing w:val="0"/>
        </w:rPr>
        <w:t>n</w:t>
      </w:r>
      <w:r>
        <w:rPr>
          <w:rFonts w:ascii="Times New Roman" w:eastAsia="Times New Roman"/>
          <w:spacing w:val="-1"/>
        </w:rPr>
        <w:t>a</w:t>
      </w:r>
      <w:r>
        <w:rPr>
          <w:rFonts w:ascii="Times New Roman" w:eastAsia="Times New Roman"/>
        </w:rPr>
        <w:t>l in</w:t>
      </w:r>
      <w:r>
        <w:rPr>
          <w:rFonts w:ascii="Times New Roman" w:eastAsia="Times New Roman"/>
          <w:spacing w:val="-1"/>
        </w:rPr>
        <w:t>c</w:t>
      </w:r>
      <w:r>
        <w:rPr>
          <w:rFonts w:ascii="Times New Roman" w:eastAsia="Times New Roman"/>
        </w:rPr>
        <w:t>ome t</w:t>
      </w:r>
      <w:r>
        <w:rPr>
          <w:rFonts w:ascii="Times New Roman" w:eastAsia="Times New Roman"/>
          <w:spacing w:val="-1"/>
        </w:rPr>
        <w:t>a</w:t>
      </w:r>
      <w:r>
        <w:rPr>
          <w:rFonts w:ascii="Times New Roman" w:eastAsia="Times New Roman"/>
          <w:spacing w:val="1"/>
        </w:rPr>
        <w:t>x</w:t>
      </w:r>
      <w:r>
        <w:rPr>
          <w:spacing w:val="-116"/>
        </w:rPr>
        <w:t>），</w:t>
      </w:r>
      <w:r>
        <w:rPr>
          <w:spacing w:val="-12"/>
        </w:rPr>
        <w:t>减少了增值税</w:t>
      </w:r>
      <w:r>
        <w:rPr>
          <w:spacing w:val="-5"/>
        </w:rPr>
        <w:t>（</w:t>
      </w:r>
      <w:r>
        <w:rPr>
          <w:rFonts w:ascii="Times New Roman" w:eastAsia="Times New Roman"/>
          <w:spacing w:val="-5"/>
        </w:rPr>
        <w:t>VAT</w:t>
      </w:r>
      <w:r>
        <w:rPr>
          <w:spacing w:val="-5"/>
        </w:rPr>
        <w:t>，</w:t>
      </w:r>
      <w:r>
        <w:rPr>
          <w:rFonts w:ascii="Times New Roman" w:eastAsia="Times New Roman"/>
          <w:spacing w:val="-5"/>
        </w:rPr>
        <w:t>value-added </w:t>
      </w:r>
      <w:r>
        <w:rPr>
          <w:rFonts w:ascii="Times New Roman" w:eastAsia="Times New Roman"/>
          <w:spacing w:val="-17"/>
        </w:rPr>
        <w:t>tax</w:t>
      </w:r>
      <w:r>
        <w:rPr>
          <w:spacing w:val="-17"/>
        </w:rPr>
        <w:t>）</w:t>
      </w:r>
      <w:r>
        <w:rPr/>
        <w:t>以及对不动产的经常性税收造成的扭曲。</w:t>
      </w:r>
    </w:p>
    <w:p>
      <w:pPr>
        <w:pStyle w:val="BodyText"/>
        <w:spacing w:line="357" w:lineRule="auto" w:before="29"/>
        <w:ind w:left="600"/>
      </w:pPr>
      <w:r>
        <w:rPr/>
        <w:t>全面的税制改革应该或至少保持预算中立，并与国家的财政规则保持一致。斯洛文尼亚的人口正在快速老龄化，预计到 </w:t>
      </w:r>
      <w:r>
        <w:rPr>
          <w:rFonts w:ascii="Times New Roman" w:eastAsia="Times New Roman"/>
        </w:rPr>
        <w:t>2050 </w:t>
      </w:r>
      <w:r>
        <w:rPr/>
        <w:t>年，超过 </w:t>
      </w:r>
      <w:r>
        <w:rPr>
          <w:rFonts w:ascii="Times New Roman" w:eastAsia="Times New Roman"/>
        </w:rPr>
        <w:t>30</w:t>
      </w:r>
      <w:r>
        <w:rPr/>
        <w:t>％的人口将超</w:t>
      </w:r>
    </w:p>
    <w:p>
      <w:pPr>
        <w:pStyle w:val="BodyText"/>
        <w:spacing w:line="352" w:lineRule="auto" w:before="3"/>
        <w:ind w:left="120" w:right="236"/>
        <w:jc w:val="both"/>
      </w:pPr>
      <w:r>
        <w:rPr>
          <w:spacing w:val="-31"/>
        </w:rPr>
        <w:t>过 </w:t>
      </w:r>
      <w:r>
        <w:rPr>
          <w:rFonts w:ascii="Times New Roman" w:eastAsia="Times New Roman"/>
        </w:rPr>
        <w:t>65 </w:t>
      </w:r>
      <w:r>
        <w:rPr>
          <w:spacing w:val="-13"/>
        </w:rPr>
        <w:t>岁，这将是 </w:t>
      </w:r>
      <w:r>
        <w:rPr>
          <w:rFonts w:ascii="Times New Roman" w:eastAsia="Times New Roman"/>
        </w:rPr>
        <w:t>OECD </w:t>
      </w:r>
      <w:r>
        <w:rPr>
          <w:spacing w:val="-2"/>
        </w:rPr>
        <w:t>国家中老年化比例最高的国家之一。在斯洛文尼亚，年</w:t>
      </w:r>
      <w:r>
        <w:rPr>
          <w:spacing w:val="-9"/>
        </w:rPr>
        <w:t>龄大的工人过早退出劳动力市场。由于学习时长增加导致劳动力市场中青年人群</w:t>
      </w:r>
      <w:r>
        <w:rPr>
          <w:spacing w:val="-13"/>
        </w:rPr>
        <w:t>参与率低，以及低技能人员长期失业率高，这给斯洛文尼亚劳动力市场带来了额外的挑战。此外，不同类型工人的税收待遇也存在不公平现象。为了更好地为斯</w:t>
      </w:r>
      <w:r>
        <w:rPr>
          <w:spacing w:val="-16"/>
        </w:rPr>
        <w:t>洛文尼亚的未来做好准备，税收改革需要通过更广泛的改革来补充，包括养老金改革和医疗改革。</w:t>
      </w:r>
    </w:p>
    <w:p>
      <w:pPr>
        <w:pStyle w:val="BodyText"/>
        <w:rPr>
          <w:sz w:val="20"/>
        </w:rPr>
      </w:pPr>
    </w:p>
    <w:p>
      <w:pPr>
        <w:pStyle w:val="BodyText"/>
        <w:spacing w:before="8"/>
        <w:rPr>
          <w:sz w:val="20"/>
        </w:rPr>
      </w:pPr>
      <w:r>
        <w:rPr/>
        <w:drawing>
          <wp:anchor distT="0" distB="0" distL="0" distR="0" allowOverlap="1" layoutInCell="1" locked="0" behindDoc="0" simplePos="0" relativeHeight="1072">
            <wp:simplePos x="0" y="0"/>
            <wp:positionH relativeFrom="page">
              <wp:posOffset>1139494</wp:posOffset>
            </wp:positionH>
            <wp:positionV relativeFrom="paragraph">
              <wp:posOffset>196571</wp:posOffset>
            </wp:positionV>
            <wp:extent cx="1836734" cy="7619"/>
            <wp:effectExtent l="0" t="0" r="0" b="0"/>
            <wp:wrapTopAndBottom/>
            <wp:docPr id="9" name="image3.png" descr=""/>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before="76"/>
        <w:ind w:left="120" w:right="2110" w:firstLine="0"/>
        <w:jc w:val="left"/>
        <w:rPr>
          <w:rFonts w:ascii="Times New Roman" w:hAnsi="Times New Roman"/>
          <w:sz w:val="18"/>
        </w:rPr>
      </w:pPr>
      <w:r>
        <w:rPr>
          <w:position w:val="6"/>
          <w:sz w:val="9"/>
        </w:rPr>
        <w:t>① </w:t>
      </w:r>
      <w:r>
        <w:rPr>
          <w:rFonts w:ascii="Times New Roman" w:hAnsi="Times New Roman"/>
          <w:sz w:val="18"/>
        </w:rPr>
        <w:t>OECD/(2018), OECD Tax Policy Reviews: Slovenia 2018 OECD Publishing, Paris. </w:t>
      </w:r>
      <w:hyperlink r:id="rId10">
        <w:r>
          <w:rPr>
            <w:rFonts w:ascii="Times New Roman" w:hAnsi="Times New Roman"/>
            <w:sz w:val="18"/>
          </w:rPr>
          <w:t>http://www.oecd.org/tax/oecd-tax-policy-reviews-slovenia-2018-9789264303898-en.htm</w:t>
        </w:r>
      </w:hyperlink>
    </w:p>
    <w:p>
      <w:pPr>
        <w:pStyle w:val="BodyText"/>
        <w:spacing w:before="1"/>
        <w:rPr>
          <w:rFonts w:ascii="Times New Roman"/>
          <w:sz w:val="13"/>
        </w:rPr>
      </w:pPr>
    </w:p>
    <w:p>
      <w:pPr>
        <w:spacing w:before="93"/>
        <w:ind w:left="0" w:right="116" w:firstLine="0"/>
        <w:jc w:val="center"/>
        <w:rPr>
          <w:rFonts w:ascii="Times New Roman"/>
          <w:sz w:val="18"/>
        </w:rPr>
      </w:pPr>
      <w:r>
        <w:rPr>
          <w:rFonts w:ascii="Times New Roman"/>
          <w:sz w:val="18"/>
        </w:rPr>
        <w:t>5</w:t>
      </w:r>
    </w:p>
    <w:p>
      <w:pPr>
        <w:spacing w:after="0"/>
        <w:jc w:val="center"/>
        <w:rPr>
          <w:rFonts w:ascii="Times New Roman"/>
          <w:sz w:val="18"/>
        </w:rPr>
        <w:sectPr>
          <w:footerReference w:type="default" r:id="rId9"/>
          <w:pgSz w:w="11900" w:h="16850"/>
          <w:pgMar w:footer="0" w:header="0" w:top="1600" w:bottom="0" w:left="1680" w:right="1560"/>
        </w:sectPr>
      </w:pPr>
    </w:p>
    <w:p>
      <w:pPr>
        <w:pStyle w:val="BodyText"/>
        <w:spacing w:line="345" w:lineRule="auto"/>
        <w:ind w:left="120" w:right="217" w:firstLine="479"/>
        <w:jc w:val="both"/>
      </w:pPr>
      <w:r>
        <w:rPr>
          <w:spacing w:val="-5"/>
        </w:rPr>
        <w:t>本报告对斯洛文尼亚个人所缴纳的税款进行了评估，并概述了税制改革的建</w:t>
      </w:r>
      <w:r>
        <w:rPr>
          <w:spacing w:val="-14"/>
        </w:rPr>
        <w:t>议，即精心设计的 </w:t>
      </w:r>
      <w:r>
        <w:rPr>
          <w:rFonts w:ascii="Times New Roman" w:eastAsia="Times New Roman"/>
        </w:rPr>
        <w:t>PIT </w:t>
      </w:r>
      <w:r>
        <w:rPr>
          <w:spacing w:val="-3"/>
        </w:rPr>
        <w:t>为全面的税收中性税制改革奠定基础，可以有效地促进包</w:t>
      </w:r>
      <w:r>
        <w:rPr>
          <w:spacing w:val="-3"/>
          <w:w w:val="95"/>
        </w:rPr>
        <w:t>容性经济增长。</w:t>
      </w:r>
    </w:p>
    <w:p>
      <w:pPr>
        <w:pStyle w:val="BodyText"/>
        <w:spacing w:line="338" w:lineRule="auto" w:before="49"/>
        <w:ind w:left="120" w:right="216" w:firstLine="479"/>
        <w:jc w:val="both"/>
      </w:pPr>
      <w:r>
        <w:rPr>
          <w:spacing w:val="-13"/>
        </w:rPr>
        <w:t>通过扩大 </w:t>
      </w:r>
      <w:r>
        <w:rPr>
          <w:rFonts w:ascii="Times New Roman" w:eastAsia="Times New Roman"/>
        </w:rPr>
        <w:t>PIT </w:t>
      </w:r>
      <w:r>
        <w:rPr>
          <w:spacing w:val="-4"/>
        </w:rPr>
        <w:t>税基，斯洛文尼亚可以重新平衡向员工征收 </w:t>
      </w:r>
      <w:r>
        <w:rPr>
          <w:rFonts w:ascii="Times New Roman" w:eastAsia="Times New Roman"/>
        </w:rPr>
        <w:t>SSC </w:t>
      </w:r>
      <w:r>
        <w:rPr>
          <w:spacing w:val="-31"/>
        </w:rPr>
        <w:t>到 </w:t>
      </w:r>
      <w:r>
        <w:rPr>
          <w:rFonts w:ascii="Times New Roman" w:eastAsia="Times New Roman"/>
        </w:rPr>
        <w:t>PIT </w:t>
      </w:r>
      <w:r>
        <w:rPr/>
        <w:t>的税</w:t>
      </w:r>
      <w:r>
        <w:rPr>
          <w:spacing w:val="-12"/>
        </w:rPr>
        <w:t>收变化。还有机会将税收重新定义为个人层面的资本收入税。除了扩大 </w:t>
      </w:r>
      <w:r>
        <w:rPr>
          <w:rFonts w:ascii="Times New Roman" w:eastAsia="Times New Roman"/>
        </w:rPr>
        <w:t>PIT </w:t>
      </w:r>
      <w:r>
        <w:rPr/>
        <w:t>税基</w:t>
      </w:r>
      <w:r>
        <w:rPr>
          <w:spacing w:val="-13"/>
        </w:rPr>
        <w:t>之外，还可以通过扩大增值税税基、加强市政融资组合中不动产来自 </w:t>
      </w:r>
      <w:r>
        <w:rPr>
          <w:rFonts w:ascii="Times New Roman" w:eastAsia="Times New Roman"/>
        </w:rPr>
        <w:t>PIT </w:t>
      </w:r>
      <w:r>
        <w:rPr/>
        <w:t>收入的</w:t>
      </w:r>
      <w:r>
        <w:rPr>
          <w:spacing w:val="-6"/>
        </w:rPr>
        <w:t>经常性税收，以弥补减少 </w:t>
      </w:r>
      <w:r>
        <w:rPr>
          <w:rFonts w:ascii="Times New Roman" w:eastAsia="Times New Roman"/>
        </w:rPr>
        <w:t>SSC </w:t>
      </w:r>
      <w:r>
        <w:rPr/>
        <w:t>的资金缺口。</w:t>
      </w:r>
      <w:r>
        <w:rPr>
          <w:rFonts w:ascii="Times New Roman" w:eastAsia="Times New Roman"/>
        </w:rPr>
        <w:t>PIT </w:t>
      </w:r>
      <w:r>
        <w:rPr>
          <w:spacing w:val="-11"/>
        </w:rPr>
        <w:t>将使员工的 </w:t>
      </w:r>
      <w:r>
        <w:rPr>
          <w:rFonts w:ascii="Times New Roman" w:eastAsia="Times New Roman"/>
        </w:rPr>
        <w:t>SSC </w:t>
      </w:r>
      <w:r>
        <w:rPr>
          <w:spacing w:val="-14"/>
        </w:rPr>
        <w:t>大幅减少 </w:t>
      </w:r>
      <w:r>
        <w:rPr>
          <w:rFonts w:ascii="Times New Roman" w:eastAsia="Times New Roman"/>
        </w:rPr>
        <w:t>5 </w:t>
      </w:r>
      <w:r>
        <w:rPr/>
        <w:t>个</w:t>
      </w:r>
      <w:r>
        <w:rPr>
          <w:spacing w:val="-7"/>
        </w:rPr>
        <w:t>百分点。削减员工 </w:t>
      </w:r>
      <w:r>
        <w:rPr>
          <w:rFonts w:ascii="Times New Roman" w:eastAsia="Times New Roman"/>
        </w:rPr>
        <w:t>SSC </w:t>
      </w:r>
      <w:r>
        <w:rPr>
          <w:spacing w:val="-9"/>
        </w:rPr>
        <w:t>需要重新设计 </w:t>
      </w:r>
      <w:r>
        <w:rPr>
          <w:rFonts w:ascii="Times New Roman" w:eastAsia="Times New Roman"/>
        </w:rPr>
        <w:t>PIT </w:t>
      </w:r>
      <w:r>
        <w:rPr/>
        <w:t>费率表以平衡预算。首先，可以废除</w:t>
      </w:r>
      <w:r>
        <w:rPr>
          <w:spacing w:val="-21"/>
        </w:rPr>
        <w:t>最高 </w:t>
      </w:r>
      <w:r>
        <w:rPr>
          <w:rFonts w:ascii="Times New Roman" w:eastAsia="Times New Roman"/>
        </w:rPr>
        <w:t>PIT </w:t>
      </w:r>
      <w:r>
        <w:rPr>
          <w:spacing w:val="-24"/>
        </w:rPr>
        <w:t>税率。其次，可以增加第二、第三和第四档</w:t>
      </w:r>
      <w:r>
        <w:rPr/>
        <w:t>（</w:t>
      </w:r>
      <w:r>
        <w:rPr>
          <w:spacing w:val="-16"/>
        </w:rPr>
        <w:t>分别为 </w:t>
      </w:r>
      <w:r>
        <w:rPr>
          <w:rFonts w:ascii="Times New Roman" w:eastAsia="Times New Roman"/>
        </w:rPr>
        <w:t>27</w:t>
      </w:r>
      <w:r>
        <w:rPr>
          <w:spacing w:val="-46"/>
        </w:rPr>
        <w:t>％、</w:t>
      </w:r>
      <w:r>
        <w:rPr>
          <w:rFonts w:ascii="Times New Roman" w:eastAsia="Times New Roman"/>
        </w:rPr>
        <w:t>34</w:t>
      </w:r>
      <w:r>
        <w:rPr>
          <w:spacing w:val="-21"/>
        </w:rPr>
        <w:t>％和 </w:t>
      </w:r>
      <w:r>
        <w:rPr>
          <w:rFonts w:ascii="Times New Roman" w:eastAsia="Times New Roman"/>
        </w:rPr>
        <w:t>39</w:t>
      </w:r>
      <w:r>
        <w:rPr/>
        <w:t>％） </w:t>
      </w:r>
      <w:r>
        <w:rPr>
          <w:spacing w:val="-11"/>
        </w:rPr>
        <w:t>的税率，以帮助削减员工的 </w:t>
      </w:r>
      <w:r>
        <w:rPr>
          <w:rFonts w:ascii="Times New Roman" w:eastAsia="Times New Roman"/>
        </w:rPr>
        <w:t>SSC</w:t>
      </w:r>
      <w:r>
        <w:rPr>
          <w:spacing w:val="-10"/>
        </w:rPr>
        <w:t>。为了弥补劳动收入的高税负，斯洛文尼亚有慷</w:t>
      </w:r>
      <w:r>
        <w:rPr>
          <w:spacing w:val="-14"/>
        </w:rPr>
        <w:t>慨的税收优惠条款，特别是对有孩子的家庭减税，他们可以从儿童免税额和儿童现金福利中受益。</w:t>
      </w:r>
    </w:p>
    <w:p>
      <w:pPr>
        <w:pStyle w:val="BodyText"/>
        <w:spacing w:line="338" w:lineRule="auto" w:before="53"/>
        <w:ind w:left="120" w:right="216" w:firstLine="479"/>
        <w:jc w:val="both"/>
      </w:pPr>
      <w:r>
        <w:rPr>
          <w:spacing w:val="-8"/>
        </w:rPr>
        <w:t>征税范围扩大了 </w:t>
      </w:r>
      <w:r>
        <w:rPr>
          <w:rFonts w:ascii="Times New Roman" w:eastAsia="Times New Roman"/>
        </w:rPr>
        <w:t>PIT </w:t>
      </w:r>
      <w:r>
        <w:rPr>
          <w:spacing w:val="-11"/>
        </w:rPr>
        <w:t>的税基，可以通过限制不同缴费率和基数以及调整不同</w:t>
      </w:r>
      <w:r>
        <w:rPr>
          <w:spacing w:val="-16"/>
        </w:rPr>
        <w:t>类型收入的处理来扩大 </w:t>
      </w:r>
      <w:r>
        <w:rPr>
          <w:rFonts w:ascii="Times New Roman" w:eastAsia="Times New Roman"/>
        </w:rPr>
        <w:t>SSC </w:t>
      </w:r>
      <w:r>
        <w:rPr>
          <w:spacing w:val="-13"/>
        </w:rPr>
        <w:t>税基。低 </w:t>
      </w:r>
      <w:r>
        <w:rPr>
          <w:rFonts w:ascii="Times New Roman" w:eastAsia="Times New Roman"/>
        </w:rPr>
        <w:t>PIT </w:t>
      </w:r>
      <w:r>
        <w:rPr>
          <w:spacing w:val="-11"/>
        </w:rPr>
        <w:t>收入不是低 </w:t>
      </w:r>
      <w:r>
        <w:rPr>
          <w:rFonts w:ascii="Times New Roman" w:eastAsia="Times New Roman"/>
        </w:rPr>
        <w:t>PIT </w:t>
      </w:r>
      <w:r>
        <w:rPr/>
        <w:t>率或缺乏税收累进性</w:t>
      </w:r>
      <w:r>
        <w:rPr>
          <w:spacing w:val="-13"/>
        </w:rPr>
        <w:t>的结果。实际上，斯洛文尼亚的 </w:t>
      </w:r>
      <w:r>
        <w:rPr>
          <w:rFonts w:ascii="Times New Roman" w:eastAsia="Times New Roman"/>
        </w:rPr>
        <w:t>PIT </w:t>
      </w:r>
      <w:r>
        <w:rPr>
          <w:spacing w:val="-6"/>
        </w:rPr>
        <w:t>率最高，但由于许多优惠的税收规定和免税</w:t>
      </w:r>
      <w:r>
        <w:rPr>
          <w:spacing w:val="-18"/>
        </w:rPr>
        <w:t>政策导致 </w:t>
      </w:r>
      <w:r>
        <w:rPr>
          <w:rFonts w:ascii="Times New Roman" w:eastAsia="Times New Roman"/>
        </w:rPr>
        <w:t>PIT </w:t>
      </w:r>
      <w:r>
        <w:rPr/>
        <w:t>基数缩小。</w:t>
      </w:r>
    </w:p>
    <w:p>
      <w:pPr>
        <w:pStyle w:val="BodyText"/>
        <w:spacing w:line="357" w:lineRule="auto" w:before="26"/>
        <w:ind w:left="120" w:right="100" w:firstLine="479"/>
      </w:pPr>
      <w:r>
        <w:rPr/>
        <w:t>最后，改善税收制度的设计还需要改革房地产税和改变市政府的融资方式。</w:t>
      </w:r>
      <w:r>
        <w:rPr>
          <w:spacing w:val="-7"/>
        </w:rPr>
        <w:t>新房地产税的引入是值得期待的，因为它创造了重新平衡税收组合和改革融资的机会。</w:t>
      </w:r>
    </w:p>
    <w:p>
      <w:pPr>
        <w:pStyle w:val="BodyText"/>
        <w:spacing w:before="4"/>
        <w:rPr>
          <w:sz w:val="29"/>
        </w:rPr>
      </w:pPr>
    </w:p>
    <w:p>
      <w:pPr>
        <w:pStyle w:val="Heading3"/>
        <w:numPr>
          <w:ilvl w:val="0"/>
          <w:numId w:val="4"/>
        </w:numPr>
        <w:tabs>
          <w:tab w:pos="361" w:val="left" w:leader="none"/>
        </w:tabs>
        <w:spacing w:line="271" w:lineRule="auto" w:before="0" w:after="0"/>
        <w:ind w:left="120" w:right="235" w:firstLine="0"/>
        <w:jc w:val="left"/>
        <w:rPr>
          <w:sz w:val="12"/>
        </w:rPr>
      </w:pPr>
      <w:bookmarkStart w:name="_bookmark4" w:id="9"/>
      <w:bookmarkEnd w:id="9"/>
      <w:r>
        <w:rPr>
          <w:b w:val="0"/>
        </w:rPr>
      </w:r>
      <w:bookmarkStart w:name="_bookmark4" w:id="10"/>
      <w:bookmarkEnd w:id="10"/>
      <w:r>
        <w:rPr>
          <w:rFonts w:ascii="Times New Roman" w:hAnsi="Times New Roman" w:eastAsia="Times New Roman"/>
        </w:rPr>
        <w:t>OE</w:t>
      </w:r>
      <w:r>
        <w:rPr>
          <w:rFonts w:ascii="Times New Roman" w:hAnsi="Times New Roman" w:eastAsia="Times New Roman"/>
        </w:rPr>
        <w:t>CD </w:t>
      </w:r>
      <w:r>
        <w:rPr>
          <w:spacing w:val="-1"/>
        </w:rPr>
        <w:t>发布税务工作文件《企业有效税率：来自 </w:t>
      </w:r>
      <w:r>
        <w:rPr>
          <w:rFonts w:ascii="Times New Roman" w:hAnsi="Times New Roman" w:eastAsia="Times New Roman"/>
        </w:rPr>
        <w:t>36</w:t>
      </w:r>
      <w:r>
        <w:rPr>
          <w:rFonts w:ascii="Times New Roman" w:hAnsi="Times New Roman" w:eastAsia="Times New Roman"/>
          <w:spacing w:val="0"/>
        </w:rPr>
        <w:t> </w:t>
      </w:r>
      <w:r>
        <w:rPr>
          <w:spacing w:val="-5"/>
        </w:rPr>
        <w:t>个 </w:t>
      </w:r>
      <w:r>
        <w:rPr>
          <w:rFonts w:ascii="Times New Roman" w:hAnsi="Times New Roman" w:eastAsia="Times New Roman"/>
        </w:rPr>
        <w:t>OECD </w:t>
      </w:r>
      <w:r>
        <w:rPr>
          <w:spacing w:val="-4"/>
        </w:rPr>
        <w:t>和非 </w:t>
      </w:r>
      <w:r>
        <w:rPr>
          <w:rFonts w:ascii="Times New Roman" w:hAnsi="Times New Roman" w:eastAsia="Times New Roman"/>
        </w:rPr>
        <w:t>OECD </w:t>
      </w:r>
      <w:r>
        <w:rPr/>
        <w:t>国家的模型统计结果》</w:t>
      </w:r>
      <w:r>
        <w:rPr>
          <w:position w:val="8"/>
          <w:sz w:val="12"/>
        </w:rPr>
        <w:t>①</w:t>
      </w:r>
    </w:p>
    <w:p>
      <w:pPr>
        <w:pStyle w:val="BodyText"/>
        <w:spacing w:before="2"/>
        <w:rPr>
          <w:rFonts w:ascii="Microsoft YaHei"/>
          <w:b/>
          <w:sz w:val="25"/>
        </w:rPr>
      </w:pPr>
    </w:p>
    <w:p>
      <w:pPr>
        <w:pStyle w:val="ListParagraph"/>
        <w:numPr>
          <w:ilvl w:val="1"/>
          <w:numId w:val="4"/>
        </w:numPr>
        <w:tabs>
          <w:tab w:pos="481" w:val="left" w:leader="none"/>
        </w:tabs>
        <w:spacing w:line="240" w:lineRule="auto" w:before="0" w:after="0"/>
        <w:ind w:left="480" w:right="0" w:hanging="360"/>
        <w:jc w:val="left"/>
        <w:rPr>
          <w:rFonts w:ascii="Times New Roman" w:eastAsia="Times New Roman"/>
          <w:b/>
          <w:sz w:val="24"/>
        </w:rPr>
      </w:pPr>
      <w:r>
        <w:rPr>
          <w:b/>
          <w:sz w:val="24"/>
        </w:rPr>
        <w:t>主要内容</w:t>
      </w:r>
    </w:p>
    <w:p>
      <w:pPr>
        <w:pStyle w:val="BodyText"/>
        <w:spacing w:line="350" w:lineRule="auto" w:before="122"/>
        <w:ind w:left="120" w:right="100" w:firstLine="479"/>
      </w:pPr>
      <w:r>
        <w:rPr/>
        <w:t>不同国家公司税税基定义的变化可能对特定投资的税务负债产生重大影响， </w:t>
      </w:r>
      <w:r>
        <w:rPr>
          <w:spacing w:val="-10"/>
        </w:rPr>
        <w:t>因此，对各国投资激励措施的准确评估需要建立在一致的方法框架上，这一框架</w:t>
      </w:r>
      <w:r>
        <w:rPr>
          <w:spacing w:val="-12"/>
        </w:rPr>
        <w:t>不仅要涵盖公司法定税率</w:t>
      </w:r>
      <w:r>
        <w:rPr/>
        <w:t>（</w:t>
      </w:r>
      <w:r>
        <w:rPr>
          <w:rFonts w:ascii="Times New Roman" w:eastAsia="Times New Roman"/>
        </w:rPr>
        <w:t>STR</w:t>
      </w:r>
      <w:r>
        <w:rPr/>
        <w:t>，</w:t>
      </w:r>
      <w:r>
        <w:rPr>
          <w:rFonts w:ascii="Times New Roman" w:eastAsia="Times New Roman"/>
        </w:rPr>
        <w:t>statutory tax </w:t>
      </w:r>
      <w:r>
        <w:rPr>
          <w:rFonts w:ascii="Times New Roman" w:eastAsia="Times New Roman"/>
          <w:spacing w:val="-7"/>
        </w:rPr>
        <w:t>rates</w:t>
      </w:r>
      <w:r>
        <w:rPr>
          <w:spacing w:val="-7"/>
        </w:rPr>
        <w:t>），</w:t>
      </w:r>
      <w:r>
        <w:rPr/>
        <w:t>还要涵盖影响税基的其他规则，例如折旧、扣除等。</w:t>
      </w:r>
    </w:p>
    <w:p>
      <w:pPr>
        <w:pStyle w:val="BodyText"/>
        <w:rPr>
          <w:sz w:val="17"/>
        </w:rPr>
      </w:pPr>
      <w:r>
        <w:rPr/>
        <w:drawing>
          <wp:anchor distT="0" distB="0" distL="0" distR="0" allowOverlap="1" layoutInCell="1" locked="0" behindDoc="0" simplePos="0" relativeHeight="1096">
            <wp:simplePos x="0" y="0"/>
            <wp:positionH relativeFrom="page">
              <wp:posOffset>1139494</wp:posOffset>
            </wp:positionH>
            <wp:positionV relativeFrom="paragraph">
              <wp:posOffset>166093</wp:posOffset>
            </wp:positionV>
            <wp:extent cx="1836734" cy="7619"/>
            <wp:effectExtent l="0" t="0" r="0" b="0"/>
            <wp:wrapTopAndBottom/>
            <wp:docPr id="13" name="image4.png" descr=""/>
            <wp:cNvGraphicFramePr>
              <a:graphicFrameLocks noChangeAspect="1"/>
            </wp:cNvGraphicFramePr>
            <a:graphic>
              <a:graphicData uri="http://schemas.openxmlformats.org/drawingml/2006/picture">
                <pic:pic>
                  <pic:nvPicPr>
                    <pic:cNvPr id="14" name="image4.png"/>
                    <pic:cNvPicPr/>
                  </pic:nvPicPr>
                  <pic:blipFill>
                    <a:blip r:embed="rId12" cstate="print"/>
                    <a:stretch>
                      <a:fillRect/>
                    </a:stretch>
                  </pic:blipFill>
                  <pic:spPr>
                    <a:xfrm>
                      <a:off x="0" y="0"/>
                      <a:ext cx="1836734" cy="7619"/>
                    </a:xfrm>
                    <a:prstGeom prst="rect">
                      <a:avLst/>
                    </a:prstGeom>
                  </pic:spPr>
                </pic:pic>
              </a:graphicData>
            </a:graphic>
          </wp:anchor>
        </w:drawing>
      </w:r>
    </w:p>
    <w:p>
      <w:pPr>
        <w:spacing w:before="51"/>
        <w:ind w:left="120" w:right="0" w:firstLine="0"/>
        <w:jc w:val="left"/>
        <w:rPr>
          <w:rFonts w:ascii="Times New Roman" w:hAnsi="Times New Roman" w:eastAsia="Times New Roman"/>
          <w:sz w:val="18"/>
        </w:rPr>
      </w:pPr>
      <w:r>
        <w:rPr>
          <w:w w:val="101"/>
          <w:position w:val="6"/>
          <w:sz w:val="9"/>
        </w:rPr>
        <w:t>①</w:t>
      </w:r>
      <w:r>
        <w:rPr>
          <w:position w:val="6"/>
          <w:sz w:val="9"/>
        </w:rPr>
        <w:t>  </w:t>
      </w:r>
      <w:r>
        <w:rPr>
          <w:spacing w:val="-12"/>
          <w:sz w:val="18"/>
        </w:rPr>
        <w:t>资料来源：</w:t>
      </w:r>
      <w:r>
        <w:rPr>
          <w:rFonts w:ascii="Times New Roman" w:hAnsi="Times New Roman" w:eastAsia="Times New Roman"/>
          <w:sz w:val="18"/>
        </w:rPr>
        <w:t>OEC</w:t>
      </w:r>
      <w:r>
        <w:rPr>
          <w:rFonts w:ascii="Times New Roman" w:hAnsi="Times New Roman" w:eastAsia="Times New Roman"/>
          <w:spacing w:val="-7"/>
          <w:w w:val="99"/>
          <w:sz w:val="18"/>
        </w:rPr>
        <w:t>D</w:t>
      </w:r>
      <w:r>
        <w:rPr>
          <w:spacing w:val="-174"/>
          <w:sz w:val="18"/>
        </w:rPr>
        <w:t>（</w:t>
      </w:r>
      <w:r>
        <w:rPr>
          <w:rFonts w:ascii="Times New Roman" w:hAnsi="Times New Roman" w:eastAsia="Times New Roman"/>
          <w:sz w:val="18"/>
        </w:rPr>
        <w:t>/</w:t>
      </w:r>
      <w:r>
        <w:rPr>
          <w:rFonts w:ascii="Times New Roman" w:hAnsi="Times New Roman" w:eastAsia="Times New Roman"/>
          <w:spacing w:val="-4"/>
          <w:sz w:val="18"/>
        </w:rPr>
        <w:t>   </w:t>
      </w:r>
      <w:r>
        <w:rPr>
          <w:rFonts w:ascii="Times New Roman" w:hAnsi="Times New Roman" w:eastAsia="Times New Roman"/>
          <w:spacing w:val="-2"/>
          <w:sz w:val="18"/>
        </w:rPr>
        <w:t>2</w:t>
      </w:r>
      <w:r>
        <w:rPr>
          <w:rFonts w:ascii="Times New Roman" w:hAnsi="Times New Roman" w:eastAsia="Times New Roman"/>
          <w:spacing w:val="0"/>
          <w:sz w:val="18"/>
        </w:rPr>
        <w:t>0</w:t>
      </w:r>
      <w:r>
        <w:rPr>
          <w:rFonts w:ascii="Times New Roman" w:hAnsi="Times New Roman" w:eastAsia="Times New Roman"/>
          <w:spacing w:val="-2"/>
          <w:sz w:val="18"/>
        </w:rPr>
        <w:t>1</w:t>
      </w:r>
      <w:r>
        <w:rPr>
          <w:rFonts w:ascii="Times New Roman" w:hAnsi="Times New Roman" w:eastAsia="Times New Roman"/>
          <w:spacing w:val="0"/>
          <w:sz w:val="18"/>
        </w:rPr>
        <w:t>8</w:t>
      </w:r>
      <w:r>
        <w:rPr>
          <w:spacing w:val="-58"/>
          <w:sz w:val="18"/>
        </w:rPr>
        <w:t>），</w:t>
      </w:r>
      <w:r>
        <w:rPr>
          <w:rFonts w:ascii="Times New Roman" w:hAnsi="Times New Roman" w:eastAsia="Times New Roman"/>
          <w:sz w:val="18"/>
        </w:rPr>
        <w:t>C</w:t>
      </w:r>
      <w:r>
        <w:rPr>
          <w:rFonts w:ascii="Times New Roman" w:hAnsi="Times New Roman" w:eastAsia="Times New Roman"/>
          <w:spacing w:val="-2"/>
          <w:sz w:val="18"/>
        </w:rPr>
        <w:t>o</w:t>
      </w:r>
      <w:r>
        <w:rPr>
          <w:rFonts w:ascii="Times New Roman" w:hAnsi="Times New Roman" w:eastAsia="Times New Roman"/>
          <w:sz w:val="18"/>
        </w:rPr>
        <w:t>r</w:t>
      </w:r>
      <w:r>
        <w:rPr>
          <w:rFonts w:ascii="Times New Roman" w:hAnsi="Times New Roman" w:eastAsia="Times New Roman"/>
          <w:spacing w:val="0"/>
          <w:sz w:val="18"/>
        </w:rPr>
        <w:t>po</w:t>
      </w:r>
      <w:r>
        <w:rPr>
          <w:rFonts w:ascii="Times New Roman" w:hAnsi="Times New Roman" w:eastAsia="Times New Roman"/>
          <w:sz w:val="18"/>
        </w:rPr>
        <w:t>r</w:t>
      </w:r>
      <w:r>
        <w:rPr>
          <w:rFonts w:ascii="Times New Roman" w:hAnsi="Times New Roman" w:eastAsia="Times New Roman"/>
          <w:spacing w:val="-1"/>
          <w:sz w:val="18"/>
        </w:rPr>
        <w:t>a</w:t>
      </w:r>
      <w:r>
        <w:rPr>
          <w:rFonts w:ascii="Times New Roman" w:hAnsi="Times New Roman" w:eastAsia="Times New Roman"/>
          <w:sz w:val="18"/>
        </w:rPr>
        <w:t>te E</w:t>
      </w:r>
      <w:r>
        <w:rPr>
          <w:rFonts w:ascii="Times New Roman" w:hAnsi="Times New Roman" w:eastAsia="Times New Roman"/>
          <w:spacing w:val="-3"/>
          <w:sz w:val="18"/>
        </w:rPr>
        <w:t>ff</w:t>
      </w:r>
      <w:r>
        <w:rPr>
          <w:rFonts w:ascii="Times New Roman" w:hAnsi="Times New Roman" w:eastAsia="Times New Roman"/>
          <w:spacing w:val="-1"/>
          <w:sz w:val="18"/>
        </w:rPr>
        <w:t>ec</w:t>
      </w:r>
      <w:r>
        <w:rPr>
          <w:rFonts w:ascii="Times New Roman" w:hAnsi="Times New Roman" w:eastAsia="Times New Roman"/>
          <w:sz w:val="18"/>
        </w:rPr>
        <w:t>t</w:t>
      </w:r>
      <w:r>
        <w:rPr>
          <w:rFonts w:ascii="Times New Roman" w:hAnsi="Times New Roman" w:eastAsia="Times New Roman"/>
          <w:spacing w:val="1"/>
          <w:sz w:val="18"/>
        </w:rPr>
        <w:t>i</w:t>
      </w:r>
      <w:r>
        <w:rPr>
          <w:rFonts w:ascii="Times New Roman" w:hAnsi="Times New Roman" w:eastAsia="Times New Roman"/>
          <w:spacing w:val="-2"/>
          <w:sz w:val="18"/>
        </w:rPr>
        <w:t>v</w:t>
      </w:r>
      <w:r>
        <w:rPr>
          <w:rFonts w:ascii="Times New Roman" w:hAnsi="Times New Roman" w:eastAsia="Times New Roman"/>
          <w:sz w:val="18"/>
        </w:rPr>
        <w:t>e</w:t>
      </w:r>
      <w:r>
        <w:rPr>
          <w:rFonts w:ascii="Times New Roman" w:hAnsi="Times New Roman" w:eastAsia="Times New Roman"/>
          <w:spacing w:val="1"/>
          <w:sz w:val="18"/>
        </w:rPr>
        <w:t> </w:t>
      </w:r>
      <w:r>
        <w:rPr>
          <w:rFonts w:ascii="Times New Roman" w:hAnsi="Times New Roman" w:eastAsia="Times New Roman"/>
          <w:spacing w:val="-2"/>
          <w:sz w:val="18"/>
        </w:rPr>
        <w:t>T</w:t>
      </w:r>
      <w:r>
        <w:rPr>
          <w:rFonts w:ascii="Times New Roman" w:hAnsi="Times New Roman" w:eastAsia="Times New Roman"/>
          <w:spacing w:val="-1"/>
          <w:sz w:val="18"/>
        </w:rPr>
        <w:t>a</w:t>
      </w:r>
      <w:r>
        <w:rPr>
          <w:rFonts w:ascii="Times New Roman" w:hAnsi="Times New Roman" w:eastAsia="Times New Roman"/>
          <w:sz w:val="18"/>
        </w:rPr>
        <w:t>x</w:t>
      </w:r>
      <w:r>
        <w:rPr>
          <w:rFonts w:ascii="Times New Roman" w:hAnsi="Times New Roman" w:eastAsia="Times New Roman"/>
          <w:spacing w:val="-1"/>
          <w:sz w:val="18"/>
        </w:rPr>
        <w:t> </w:t>
      </w:r>
      <w:r>
        <w:rPr>
          <w:rFonts w:ascii="Times New Roman" w:hAnsi="Times New Roman" w:eastAsia="Times New Roman"/>
          <w:sz w:val="18"/>
        </w:rPr>
        <w:t>R</w:t>
      </w:r>
      <w:r>
        <w:rPr>
          <w:rFonts w:ascii="Times New Roman" w:hAnsi="Times New Roman" w:eastAsia="Times New Roman"/>
          <w:spacing w:val="-1"/>
          <w:sz w:val="18"/>
        </w:rPr>
        <w:t>a</w:t>
      </w:r>
      <w:r>
        <w:rPr>
          <w:rFonts w:ascii="Times New Roman" w:hAnsi="Times New Roman" w:eastAsia="Times New Roman"/>
          <w:spacing w:val="1"/>
          <w:sz w:val="18"/>
        </w:rPr>
        <w:t>t</w:t>
      </w:r>
      <w:r>
        <w:rPr>
          <w:rFonts w:ascii="Times New Roman" w:hAnsi="Times New Roman" w:eastAsia="Times New Roman"/>
          <w:spacing w:val="-1"/>
          <w:sz w:val="18"/>
        </w:rPr>
        <w:t>e</w:t>
      </w:r>
      <w:r>
        <w:rPr>
          <w:rFonts w:ascii="Times New Roman" w:hAnsi="Times New Roman" w:eastAsia="Times New Roman"/>
          <w:spacing w:val="0"/>
          <w:w w:val="99"/>
          <w:sz w:val="18"/>
        </w:rPr>
        <w:t>s</w:t>
      </w:r>
      <w:r>
        <w:rPr>
          <w:spacing w:val="-58"/>
          <w:sz w:val="18"/>
        </w:rPr>
        <w:t>：</w:t>
      </w:r>
      <w:r>
        <w:rPr>
          <w:rFonts w:ascii="Times New Roman" w:hAnsi="Times New Roman" w:eastAsia="Times New Roman"/>
          <w:w w:val="99"/>
          <w:sz w:val="18"/>
        </w:rPr>
        <w:t>M</w:t>
      </w:r>
      <w:r>
        <w:rPr>
          <w:rFonts w:ascii="Times New Roman" w:hAnsi="Times New Roman" w:eastAsia="Times New Roman"/>
          <w:spacing w:val="0"/>
          <w:sz w:val="18"/>
        </w:rPr>
        <w:t>o</w:t>
      </w:r>
      <w:r>
        <w:rPr>
          <w:rFonts w:ascii="Times New Roman" w:hAnsi="Times New Roman" w:eastAsia="Times New Roman"/>
          <w:spacing w:val="-2"/>
          <w:sz w:val="18"/>
        </w:rPr>
        <w:t>d</w:t>
      </w:r>
      <w:r>
        <w:rPr>
          <w:rFonts w:ascii="Times New Roman" w:hAnsi="Times New Roman" w:eastAsia="Times New Roman"/>
          <w:spacing w:val="-1"/>
          <w:sz w:val="18"/>
        </w:rPr>
        <w:t>e</w:t>
      </w:r>
      <w:r>
        <w:rPr>
          <w:rFonts w:ascii="Times New Roman" w:hAnsi="Times New Roman" w:eastAsia="Times New Roman"/>
          <w:sz w:val="18"/>
        </w:rPr>
        <w:t>l </w:t>
      </w:r>
      <w:r>
        <w:rPr>
          <w:rFonts w:ascii="Times New Roman" w:hAnsi="Times New Roman" w:eastAsia="Times New Roman"/>
          <w:w w:val="99"/>
          <w:sz w:val="18"/>
        </w:rPr>
        <w:t>D</w:t>
      </w:r>
      <w:r>
        <w:rPr>
          <w:rFonts w:ascii="Times New Roman" w:hAnsi="Times New Roman" w:eastAsia="Times New Roman"/>
          <w:spacing w:val="-2"/>
          <w:w w:val="99"/>
          <w:sz w:val="18"/>
        </w:rPr>
        <w:t>e</w:t>
      </w:r>
      <w:r>
        <w:rPr>
          <w:rFonts w:ascii="Times New Roman" w:hAnsi="Times New Roman" w:eastAsia="Times New Roman"/>
          <w:w w:val="99"/>
          <w:sz w:val="18"/>
        </w:rPr>
        <w:t>s</w:t>
      </w:r>
      <w:r>
        <w:rPr>
          <w:rFonts w:ascii="Times New Roman" w:hAnsi="Times New Roman" w:eastAsia="Times New Roman"/>
          <w:spacing w:val="-2"/>
          <w:w w:val="99"/>
          <w:sz w:val="18"/>
        </w:rPr>
        <w:t>c</w:t>
      </w:r>
      <w:r>
        <w:rPr>
          <w:rFonts w:ascii="Times New Roman" w:hAnsi="Times New Roman" w:eastAsia="Times New Roman"/>
          <w:w w:val="99"/>
          <w:sz w:val="18"/>
        </w:rPr>
        <w:t>ri</w:t>
      </w:r>
      <w:r>
        <w:rPr>
          <w:rFonts w:ascii="Times New Roman" w:hAnsi="Times New Roman" w:eastAsia="Times New Roman"/>
          <w:spacing w:val="0"/>
          <w:w w:val="99"/>
          <w:sz w:val="18"/>
        </w:rPr>
        <w:t>p</w:t>
      </w:r>
      <w:r>
        <w:rPr>
          <w:rFonts w:ascii="Times New Roman" w:hAnsi="Times New Roman" w:eastAsia="Times New Roman"/>
          <w:w w:val="99"/>
          <w:sz w:val="18"/>
        </w:rPr>
        <w:t>ti</w:t>
      </w:r>
      <w:r>
        <w:rPr>
          <w:rFonts w:ascii="Times New Roman" w:hAnsi="Times New Roman" w:eastAsia="Times New Roman"/>
          <w:spacing w:val="0"/>
          <w:w w:val="99"/>
          <w:sz w:val="18"/>
        </w:rPr>
        <w:t>o</w:t>
      </w:r>
      <w:r>
        <w:rPr>
          <w:rFonts w:ascii="Times New Roman" w:hAnsi="Times New Roman" w:eastAsia="Times New Roman"/>
          <w:w w:val="99"/>
          <w:sz w:val="18"/>
        </w:rPr>
        <w:t>n</w:t>
      </w:r>
      <w:r>
        <w:rPr>
          <w:rFonts w:ascii="Times New Roman" w:hAnsi="Times New Roman" w:eastAsia="Times New Roman"/>
          <w:spacing w:val="0"/>
          <w:w w:val="99"/>
          <w:sz w:val="18"/>
        </w:rPr>
        <w:t> </w:t>
      </w:r>
      <w:r>
        <w:rPr>
          <w:rFonts w:ascii="Times New Roman" w:hAnsi="Times New Roman" w:eastAsia="Times New Roman"/>
          <w:spacing w:val="-4"/>
          <w:w w:val="99"/>
          <w:sz w:val="18"/>
        </w:rPr>
        <w:t>a</w:t>
      </w:r>
      <w:r>
        <w:rPr>
          <w:rFonts w:ascii="Times New Roman" w:hAnsi="Times New Roman" w:eastAsia="Times New Roman"/>
          <w:spacing w:val="0"/>
          <w:w w:val="99"/>
          <w:sz w:val="18"/>
        </w:rPr>
        <w:t>n</w:t>
      </w:r>
      <w:r>
        <w:rPr>
          <w:rFonts w:ascii="Times New Roman" w:hAnsi="Times New Roman" w:eastAsia="Times New Roman"/>
          <w:w w:val="99"/>
          <w:sz w:val="18"/>
        </w:rPr>
        <w:t>d</w:t>
      </w:r>
      <w:r>
        <w:rPr>
          <w:rFonts w:ascii="Times New Roman" w:hAnsi="Times New Roman" w:eastAsia="Times New Roman"/>
          <w:spacing w:val="0"/>
          <w:w w:val="99"/>
          <w:sz w:val="18"/>
        </w:rPr>
        <w:t> </w:t>
      </w:r>
      <w:r>
        <w:rPr>
          <w:rFonts w:ascii="Times New Roman" w:hAnsi="Times New Roman" w:eastAsia="Times New Roman"/>
          <w:w w:val="99"/>
          <w:sz w:val="18"/>
        </w:rPr>
        <w:t>R</w:t>
      </w:r>
      <w:r>
        <w:rPr>
          <w:rFonts w:ascii="Times New Roman" w:hAnsi="Times New Roman" w:eastAsia="Times New Roman"/>
          <w:spacing w:val="-1"/>
          <w:w w:val="99"/>
          <w:sz w:val="18"/>
        </w:rPr>
        <w:t>e</w:t>
      </w:r>
      <w:r>
        <w:rPr>
          <w:rFonts w:ascii="Times New Roman" w:hAnsi="Times New Roman" w:eastAsia="Times New Roman"/>
          <w:w w:val="99"/>
          <w:sz w:val="18"/>
        </w:rPr>
        <w:t>s</w:t>
      </w:r>
      <w:r>
        <w:rPr>
          <w:rFonts w:ascii="Times New Roman" w:hAnsi="Times New Roman" w:eastAsia="Times New Roman"/>
          <w:spacing w:val="-2"/>
          <w:w w:val="99"/>
          <w:sz w:val="18"/>
        </w:rPr>
        <w:t>u</w:t>
      </w:r>
      <w:r>
        <w:rPr>
          <w:rFonts w:ascii="Times New Roman" w:hAnsi="Times New Roman" w:eastAsia="Times New Roman"/>
          <w:sz w:val="18"/>
        </w:rPr>
        <w:t>lt</w:t>
      </w:r>
      <w:r>
        <w:rPr>
          <w:rFonts w:ascii="Times New Roman" w:hAnsi="Times New Roman" w:eastAsia="Times New Roman"/>
          <w:w w:val="99"/>
          <w:sz w:val="18"/>
        </w:rPr>
        <w:t>s</w:t>
      </w:r>
      <w:r>
        <w:rPr>
          <w:rFonts w:ascii="Times New Roman" w:hAnsi="Times New Roman" w:eastAsia="Times New Roman"/>
          <w:sz w:val="18"/>
        </w:rPr>
        <w:t> </w:t>
      </w:r>
      <w:r>
        <w:rPr>
          <w:rFonts w:ascii="Times New Roman" w:hAnsi="Times New Roman" w:eastAsia="Times New Roman"/>
          <w:spacing w:val="-3"/>
          <w:sz w:val="18"/>
        </w:rPr>
        <w:t>f</w:t>
      </w:r>
      <w:r>
        <w:rPr>
          <w:rFonts w:ascii="Times New Roman" w:hAnsi="Times New Roman" w:eastAsia="Times New Roman"/>
          <w:sz w:val="18"/>
        </w:rPr>
        <w:t>r</w:t>
      </w:r>
      <w:r>
        <w:rPr>
          <w:rFonts w:ascii="Times New Roman" w:hAnsi="Times New Roman" w:eastAsia="Times New Roman"/>
          <w:spacing w:val="0"/>
          <w:sz w:val="18"/>
        </w:rPr>
        <w:t>o</w:t>
      </w:r>
      <w:r>
        <w:rPr>
          <w:rFonts w:ascii="Times New Roman" w:hAnsi="Times New Roman" w:eastAsia="Times New Roman"/>
          <w:sz w:val="18"/>
        </w:rPr>
        <w:t>m</w:t>
      </w:r>
      <w:r>
        <w:rPr>
          <w:rFonts w:ascii="Times New Roman" w:hAnsi="Times New Roman" w:eastAsia="Times New Roman"/>
          <w:spacing w:val="-3"/>
          <w:sz w:val="18"/>
        </w:rPr>
        <w:t> </w:t>
      </w:r>
      <w:r>
        <w:rPr>
          <w:rFonts w:ascii="Times New Roman" w:hAnsi="Times New Roman" w:eastAsia="Times New Roman"/>
          <w:spacing w:val="0"/>
          <w:sz w:val="18"/>
        </w:rPr>
        <w:t>3</w:t>
      </w:r>
      <w:r>
        <w:rPr>
          <w:rFonts w:ascii="Times New Roman" w:hAnsi="Times New Roman" w:eastAsia="Times New Roman"/>
          <w:sz w:val="18"/>
        </w:rPr>
        <w:t>6</w:t>
      </w:r>
      <w:r>
        <w:rPr>
          <w:rFonts w:ascii="Times New Roman" w:hAnsi="Times New Roman" w:eastAsia="Times New Roman"/>
          <w:spacing w:val="0"/>
          <w:sz w:val="18"/>
        </w:rPr>
        <w:t> </w:t>
      </w:r>
      <w:r>
        <w:rPr>
          <w:rFonts w:ascii="Times New Roman" w:hAnsi="Times New Roman" w:eastAsia="Times New Roman"/>
          <w:w w:val="99"/>
          <w:sz w:val="18"/>
        </w:rPr>
        <w:t>OECD</w:t>
      </w:r>
      <w:r>
        <w:rPr>
          <w:rFonts w:ascii="Times New Roman" w:hAnsi="Times New Roman" w:eastAsia="Times New Roman"/>
          <w:sz w:val="18"/>
        </w:rPr>
        <w:t> a</w:t>
      </w:r>
      <w:r>
        <w:rPr>
          <w:rFonts w:ascii="Times New Roman" w:hAnsi="Times New Roman" w:eastAsia="Times New Roman"/>
          <w:spacing w:val="-2"/>
          <w:sz w:val="18"/>
        </w:rPr>
        <w:t>n</w:t>
      </w:r>
      <w:r>
        <w:rPr>
          <w:rFonts w:ascii="Times New Roman" w:hAnsi="Times New Roman" w:eastAsia="Times New Roman"/>
          <w:sz w:val="18"/>
        </w:rPr>
        <w:t>d</w:t>
      </w:r>
    </w:p>
    <w:p>
      <w:pPr>
        <w:spacing w:line="233" w:lineRule="exact" w:before="0"/>
        <w:ind w:left="120" w:right="0" w:firstLine="0"/>
        <w:jc w:val="left"/>
        <w:rPr>
          <w:rFonts w:ascii="Times New Roman" w:eastAsia="Times New Roman"/>
          <w:sz w:val="18"/>
        </w:rPr>
      </w:pPr>
      <w:r>
        <w:rPr>
          <w:rFonts w:ascii="Times New Roman" w:eastAsia="Times New Roman"/>
          <w:sz w:val="18"/>
        </w:rPr>
        <w:t>Non-OECD Countries</w:t>
      </w:r>
      <w:r>
        <w:rPr>
          <w:sz w:val="18"/>
        </w:rPr>
        <w:t>，</w:t>
      </w:r>
      <w:r>
        <w:rPr>
          <w:rFonts w:ascii="Times New Roman" w:eastAsia="Times New Roman"/>
          <w:sz w:val="18"/>
        </w:rPr>
        <w:t>OECD Publishing, Paris.</w:t>
      </w:r>
    </w:p>
    <w:p>
      <w:pPr>
        <w:spacing w:before="9"/>
        <w:ind w:left="120" w:right="0" w:firstLine="0"/>
        <w:jc w:val="left"/>
        <w:rPr>
          <w:rFonts w:ascii="Times New Roman"/>
          <w:sz w:val="18"/>
        </w:rPr>
      </w:pPr>
      <w:r>
        <w:rPr>
          <w:rFonts w:ascii="Times New Roman"/>
          <w:sz w:val="18"/>
        </w:rPr>
        <w:t>https:/</w:t>
      </w:r>
      <w:hyperlink r:id="rId13">
        <w:r>
          <w:rPr>
            <w:rFonts w:ascii="Times New Roman"/>
            <w:sz w:val="18"/>
          </w:rPr>
          <w:t>/www</w:t>
        </w:r>
      </w:hyperlink>
      <w:r>
        <w:rPr>
          <w:rFonts w:ascii="Times New Roman"/>
          <w:sz w:val="18"/>
        </w:rPr>
        <w:t>.</w:t>
      </w:r>
      <w:hyperlink r:id="rId13">
        <w:r>
          <w:rPr>
            <w:rFonts w:ascii="Times New Roman"/>
            <w:sz w:val="18"/>
          </w:rPr>
          <w:t>oecd-ilibrary.org/taxation/corporate-effective-tax-rates_a07f9958-en</w:t>
        </w:r>
      </w:hyperlink>
    </w:p>
    <w:p>
      <w:pPr>
        <w:spacing w:after="0"/>
        <w:jc w:val="left"/>
        <w:rPr>
          <w:rFonts w:ascii="Times New Roman"/>
          <w:sz w:val="18"/>
        </w:rPr>
        <w:sectPr>
          <w:footerReference w:type="default" r:id="rId11"/>
          <w:pgSz w:w="11900" w:h="16850"/>
          <w:pgMar w:footer="992" w:header="0" w:top="1400" w:bottom="1180" w:left="1680" w:right="1580"/>
          <w:pgNumType w:start="6"/>
        </w:sectPr>
      </w:pPr>
    </w:p>
    <w:p>
      <w:pPr>
        <w:pStyle w:val="BodyText"/>
        <w:spacing w:line="338" w:lineRule="auto" w:before="19"/>
        <w:ind w:left="120" w:right="236" w:firstLine="479"/>
        <w:jc w:val="both"/>
      </w:pPr>
      <w:r>
        <w:rPr>
          <w:spacing w:val="-7"/>
        </w:rPr>
        <w:t>本文件以一个新的 </w:t>
      </w:r>
      <w:r>
        <w:rPr>
          <w:rFonts w:ascii="Times New Roman" w:eastAsia="Times New Roman"/>
        </w:rPr>
        <w:t>OECD </w:t>
      </w:r>
      <w:r>
        <w:rPr>
          <w:spacing w:val="-30"/>
        </w:rPr>
        <w:t>模型，为 </w:t>
      </w:r>
      <w:r>
        <w:rPr>
          <w:rFonts w:ascii="Times New Roman" w:eastAsia="Times New Roman"/>
        </w:rPr>
        <w:t>36 </w:t>
      </w:r>
      <w:r>
        <w:rPr>
          <w:spacing w:val="-31"/>
        </w:rPr>
        <w:t>个 </w:t>
      </w:r>
      <w:r>
        <w:rPr>
          <w:rFonts w:ascii="Times New Roman" w:eastAsia="Times New Roman"/>
        </w:rPr>
        <w:t>OECD </w:t>
      </w:r>
      <w:r>
        <w:rPr/>
        <w:t>和特定合作伙伴经济体提供前瞻性的企业有效税率（</w:t>
      </w:r>
      <w:r>
        <w:rPr>
          <w:rFonts w:ascii="Times New Roman" w:eastAsia="Times New Roman"/>
        </w:rPr>
        <w:t>ETR</w:t>
      </w:r>
      <w:r>
        <w:rPr/>
        <w:t>，</w:t>
      </w:r>
      <w:r>
        <w:rPr>
          <w:rFonts w:ascii="Times New Roman" w:eastAsia="Times New Roman"/>
        </w:rPr>
        <w:t>effective tax rate</w:t>
      </w:r>
      <w:r>
        <w:rPr/>
        <w:t>）</w:t>
      </w:r>
      <w:r>
        <w:rPr>
          <w:spacing w:val="-8"/>
        </w:rPr>
        <w:t>。该模型是基于 </w:t>
      </w:r>
      <w:r>
        <w:rPr>
          <w:rFonts w:ascii="Times New Roman" w:eastAsia="Times New Roman"/>
        </w:rPr>
        <w:t>Devereux </w:t>
      </w:r>
      <w:r>
        <w:rPr/>
        <w:t>和</w:t>
      </w:r>
    </w:p>
    <w:p>
      <w:pPr>
        <w:pStyle w:val="BodyText"/>
        <w:spacing w:line="343" w:lineRule="auto" w:before="24"/>
        <w:ind w:left="120" w:right="236"/>
        <w:jc w:val="both"/>
      </w:pPr>
      <w:r>
        <w:rPr>
          <w:rFonts w:ascii="Times New Roman" w:eastAsia="Times New Roman"/>
        </w:rPr>
        <w:t>Griffith</w:t>
      </w:r>
      <w:r>
        <w:rPr/>
        <w:t>（</w:t>
      </w:r>
      <w:r>
        <w:rPr>
          <w:rFonts w:ascii="Times New Roman" w:eastAsia="Times New Roman"/>
        </w:rPr>
        <w:t>1999 </w:t>
      </w:r>
      <w:r>
        <w:rPr/>
        <w:t>年，</w:t>
      </w:r>
      <w:r>
        <w:rPr>
          <w:rFonts w:ascii="Times New Roman" w:eastAsia="Times New Roman"/>
        </w:rPr>
        <w:t>2003 </w:t>
      </w:r>
      <w:r>
        <w:rPr/>
        <w:t>年）</w:t>
      </w:r>
      <w:r>
        <w:rPr>
          <w:spacing w:val="-5"/>
        </w:rPr>
        <w:t>开发的理论模型，目前涵盖 </w:t>
      </w:r>
      <w:r>
        <w:rPr>
          <w:rFonts w:ascii="Times New Roman" w:eastAsia="Times New Roman"/>
        </w:rPr>
        <w:t>10 </w:t>
      </w:r>
      <w:r>
        <w:rPr>
          <w:spacing w:val="-9"/>
        </w:rPr>
        <w:t>个资产类别和 </w:t>
      </w:r>
      <w:r>
        <w:rPr>
          <w:rFonts w:ascii="Times New Roman" w:eastAsia="Times New Roman"/>
        </w:rPr>
        <w:t>36 </w:t>
      </w:r>
      <w:r>
        <w:rPr/>
        <w:t>个</w:t>
      </w:r>
      <w:r>
        <w:rPr>
          <w:spacing w:val="-8"/>
        </w:rPr>
        <w:t>不同的公司税制。实证结果显示，不同国家和资产类别的公司税基差别很大，由</w:t>
      </w:r>
      <w:r>
        <w:rPr>
          <w:spacing w:val="-26"/>
        </w:rPr>
        <w:t>于在 </w:t>
      </w:r>
      <w:r>
        <w:rPr>
          <w:rFonts w:ascii="Times New Roman" w:eastAsia="Times New Roman"/>
        </w:rPr>
        <w:t>STR </w:t>
      </w:r>
      <w:r>
        <w:rPr>
          <w:spacing w:val="-7"/>
        </w:rPr>
        <w:t>较高的国家，税基通常较窄，因此，不同国家和资产类别的 </w:t>
      </w:r>
      <w:r>
        <w:rPr>
          <w:rFonts w:ascii="Times New Roman" w:eastAsia="Times New Roman"/>
        </w:rPr>
        <w:t>ETR </w:t>
      </w:r>
      <w:r>
        <w:rPr/>
        <w:t>差异很大。</w:t>
      </w:r>
    </w:p>
    <w:p>
      <w:pPr>
        <w:pStyle w:val="BodyText"/>
        <w:spacing w:line="348" w:lineRule="auto" w:before="48"/>
        <w:ind w:left="120" w:right="236" w:firstLine="479"/>
        <w:jc w:val="both"/>
      </w:pPr>
      <w:r>
        <w:rPr>
          <w:spacing w:val="-2"/>
        </w:rPr>
        <w:t>除了跨国比较分析之外，</w:t>
      </w:r>
      <w:r>
        <w:rPr>
          <w:rFonts w:ascii="Times New Roman" w:eastAsia="Times New Roman"/>
          <w:spacing w:val="-19"/>
        </w:rPr>
        <w:t>OECD </w:t>
      </w:r>
      <w:r>
        <w:rPr>
          <w:spacing w:val="-19"/>
        </w:rPr>
        <w:t>模型还方便了研究人员对公司和个人所得税</w:t>
      </w:r>
      <w:r>
        <w:rPr>
          <w:spacing w:val="-6"/>
        </w:rPr>
        <w:t>的激励效果进行进一步的跨国和国内分析。附录详细描述了经合组织模型如何用于政策分析，并举例说明了如何进行针对具体国家的政策评估。</w:t>
      </w:r>
    </w:p>
    <w:p>
      <w:pPr>
        <w:pStyle w:val="Heading3"/>
        <w:numPr>
          <w:ilvl w:val="1"/>
          <w:numId w:val="4"/>
        </w:numPr>
        <w:tabs>
          <w:tab w:pos="481" w:val="left" w:leader="none"/>
        </w:tabs>
        <w:spacing w:line="389" w:lineRule="exact" w:before="0" w:after="0"/>
        <w:ind w:left="480" w:right="0" w:hanging="360"/>
        <w:jc w:val="both"/>
        <w:rPr>
          <w:rFonts w:ascii="Times New Roman" w:eastAsia="Times New Roman"/>
        </w:rPr>
      </w:pPr>
      <w:r>
        <w:rPr/>
        <w:t>统计结果</w:t>
      </w:r>
    </w:p>
    <w:p>
      <w:pPr>
        <w:pStyle w:val="BodyText"/>
        <w:spacing w:line="352" w:lineRule="auto" w:before="122"/>
        <w:ind w:left="120" w:right="117" w:firstLine="479"/>
      </w:pPr>
      <w:r>
        <w:rPr>
          <w:spacing w:val="-3"/>
        </w:rPr>
        <w:t>统计结果显示，可比框架内特定国家税收规则对 </w:t>
      </w:r>
      <w:r>
        <w:rPr>
          <w:rFonts w:ascii="Times New Roman" w:eastAsia="Times New Roman"/>
        </w:rPr>
        <w:t>ERT </w:t>
      </w:r>
      <w:r>
        <w:rPr/>
        <w:t>的影响是由不同税收</w:t>
      </w:r>
      <w:r>
        <w:rPr>
          <w:spacing w:val="-4"/>
        </w:rPr>
        <w:t>规定和有关通货膨胀和利率的宏观经济假设的相互作用所驱动的。其中，利率和</w:t>
      </w:r>
      <w:r>
        <w:rPr>
          <w:spacing w:val="-9"/>
        </w:rPr>
        <w:t>通货膨胀率是模型中两个主要经济参数，这两个参数相互影响，并与税收参数和</w:t>
      </w:r>
      <w:r>
        <w:rPr>
          <w:spacing w:val="-19"/>
        </w:rPr>
        <w:t>资金流量相互作用。基于公司税对名义回报征收，折旧免税额以非膨胀价值扣除， </w:t>
      </w:r>
      <w:r>
        <w:rPr>
          <w:spacing w:val="-25"/>
        </w:rPr>
        <w:t>折旧免税额的净现值取决于股东的贴现率</w:t>
      </w:r>
      <w:r>
        <w:rPr/>
        <w:t>（受实际利率和通货膨胀影响</w:t>
      </w:r>
      <w:r>
        <w:rPr>
          <w:spacing w:val="-113"/>
        </w:rPr>
        <w:t>），</w:t>
      </w:r>
      <w:r>
        <w:rPr/>
        <w:t>因此， </w:t>
      </w:r>
      <w:r>
        <w:rPr>
          <w:spacing w:val="-7"/>
        </w:rPr>
        <w:t>企业有效税率提升。基于利息支付可以按名义税率从税基中扣除，因此，通货膨</w:t>
      </w:r>
      <w:r>
        <w:rPr>
          <w:spacing w:val="-11"/>
        </w:rPr>
        <w:t>胀或实际利率的上升会增加名义利率和公司税基的相应扣除额，这意味着有效税率降低。</w:t>
      </w:r>
    </w:p>
    <w:p>
      <w:pPr>
        <w:pStyle w:val="BodyText"/>
        <w:spacing w:line="352" w:lineRule="auto" w:before="40"/>
        <w:ind w:left="120" w:right="234" w:firstLine="479"/>
        <w:jc w:val="both"/>
      </w:pPr>
      <w:r>
        <w:rPr>
          <w:spacing w:val="-2"/>
        </w:rPr>
        <w:t>鉴于公司层面的税收重点，财政折旧的影响是不同资产类别和国家 </w:t>
      </w:r>
      <w:r>
        <w:rPr>
          <w:rFonts w:ascii="Times New Roman" w:hAnsi="Times New Roman" w:eastAsia="Times New Roman"/>
        </w:rPr>
        <w:t>ETR </w:t>
      </w:r>
      <w:r>
        <w:rPr/>
        <w:t>差</w:t>
      </w:r>
      <w:r>
        <w:rPr>
          <w:spacing w:val="-7"/>
        </w:rPr>
        <w:t>异的主要驱动因素之一。不同资产类别资产和国家的税收折旧“慷慨度”差异很</w:t>
      </w:r>
      <w:r>
        <w:rPr>
          <w:spacing w:val="-10"/>
        </w:rPr>
        <w:t>大，特别是，与其他资产类别相比，非住宅建筑的税收折旧程度更大。慷慨的税</w:t>
      </w:r>
      <w:r>
        <w:rPr>
          <w:spacing w:val="-19"/>
        </w:rPr>
        <w:t>收折旧规则</w:t>
      </w:r>
      <w:r>
        <w:rPr/>
        <w:t>（或债务融资成本的扣除</w:t>
      </w:r>
      <w:r>
        <w:rPr>
          <w:spacing w:val="-51"/>
        </w:rPr>
        <w:t>）</w:t>
      </w:r>
      <w:r>
        <w:rPr/>
        <w:t>可能意味着边际项目在零税收的情况下也无法盈利，通过税收制度进行补贴才有利可图，特别是，对于太阳能行业。</w:t>
      </w:r>
    </w:p>
    <w:p>
      <w:pPr>
        <w:spacing w:after="0" w:line="352" w:lineRule="auto"/>
        <w:jc w:val="both"/>
        <w:sectPr>
          <w:pgSz w:w="11900" w:h="16850"/>
          <w:pgMar w:header="0" w:footer="992" w:top="1380" w:bottom="1180" w:left="1680" w:right="1560"/>
        </w:sectPr>
      </w:pPr>
    </w:p>
    <w:p>
      <w:pPr>
        <w:pStyle w:val="Heading3"/>
        <w:numPr>
          <w:ilvl w:val="0"/>
          <w:numId w:val="4"/>
        </w:numPr>
        <w:tabs>
          <w:tab w:pos="361" w:val="left" w:leader="none"/>
        </w:tabs>
        <w:spacing w:line="362" w:lineRule="exact" w:before="0" w:after="0"/>
        <w:ind w:left="360" w:right="0" w:hanging="240"/>
        <w:jc w:val="left"/>
      </w:pPr>
      <w:bookmarkStart w:name="_bookmark5" w:id="11"/>
      <w:bookmarkEnd w:id="11"/>
      <w:r>
        <w:rPr>
          <w:b w:val="0"/>
        </w:rPr>
      </w:r>
      <w:bookmarkStart w:name="_bookmark5" w:id="12"/>
      <w:bookmarkEnd w:id="12"/>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18"/>
        </w:rPr>
        <w:t> </w:t>
      </w:r>
      <w:r>
        <w:rPr/>
        <w:t>发布税务工作文件《意料外的企业所得税技术偏差——在低碳转型的</w:t>
      </w:r>
    </w:p>
    <w:p>
      <w:pPr>
        <w:spacing w:before="53"/>
        <w:ind w:left="120" w:right="0" w:firstLine="0"/>
        <w:jc w:val="left"/>
        <w:rPr>
          <w:rFonts w:ascii="Microsoft YaHei" w:hAnsi="Microsoft YaHei" w:eastAsia="Microsoft YaHei" w:hint="eastAsia"/>
          <w:b/>
          <w:sz w:val="12"/>
        </w:rPr>
      </w:pPr>
      <w:r>
        <w:rPr>
          <w:rFonts w:ascii="Microsoft YaHei" w:hAnsi="Microsoft YaHei" w:eastAsia="Microsoft YaHei" w:hint="eastAsia"/>
          <w:b/>
          <w:sz w:val="24"/>
        </w:rPr>
        <w:t>背景下发电》</w:t>
      </w:r>
      <w:r>
        <w:rPr>
          <w:rFonts w:ascii="Microsoft YaHei" w:hAnsi="Microsoft YaHei" w:eastAsia="Microsoft YaHei" w:hint="eastAsia"/>
          <w:b/>
          <w:position w:val="8"/>
          <w:sz w:val="12"/>
        </w:rPr>
        <w:t>①</w:t>
      </w:r>
    </w:p>
    <w:p>
      <w:pPr>
        <w:pStyle w:val="BodyText"/>
        <w:spacing w:before="8"/>
        <w:rPr>
          <w:rFonts w:ascii="Microsoft YaHei"/>
          <w:b/>
          <w:sz w:val="31"/>
        </w:rPr>
      </w:pPr>
    </w:p>
    <w:p>
      <w:pPr>
        <w:pStyle w:val="BodyText"/>
        <w:spacing w:line="338" w:lineRule="auto" w:before="1"/>
        <w:ind w:left="120" w:right="203" w:firstLine="479"/>
        <w:jc w:val="both"/>
      </w:pPr>
      <w:r>
        <w:rPr>
          <w:rFonts w:ascii="Times New Roman" w:hAnsi="Times New Roman" w:eastAsia="Times New Roman"/>
        </w:rPr>
        <w:t>2018 </w:t>
      </w:r>
      <w:r>
        <w:rPr>
          <w:spacing w:val="-31"/>
        </w:rPr>
        <w:t>年 </w:t>
      </w:r>
      <w:r>
        <w:rPr>
          <w:rFonts w:ascii="Times New Roman" w:hAnsi="Times New Roman" w:eastAsia="Times New Roman"/>
        </w:rPr>
        <w:t>7 </w:t>
      </w:r>
      <w:r>
        <w:rPr>
          <w:spacing w:val="-31"/>
        </w:rPr>
        <w:t>月 </w:t>
      </w:r>
      <w:r>
        <w:rPr>
          <w:rFonts w:ascii="Times New Roman" w:hAnsi="Times New Roman" w:eastAsia="Times New Roman"/>
        </w:rPr>
        <w:t>19 </w:t>
      </w:r>
      <w:r>
        <w:rPr/>
        <w:t>日，</w:t>
      </w:r>
      <w:r>
        <w:rPr>
          <w:rFonts w:ascii="Times New Roman" w:hAnsi="Times New Roman" w:eastAsia="Times New Roman"/>
        </w:rPr>
        <w:t>OECD </w:t>
      </w:r>
      <w:r>
        <w:rPr>
          <w:spacing w:val="-16"/>
        </w:rPr>
        <w:t>发布了 </w:t>
      </w:r>
      <w:r>
        <w:rPr>
          <w:rFonts w:ascii="Times New Roman" w:hAnsi="Times New Roman" w:eastAsia="Times New Roman"/>
        </w:rPr>
        <w:t>37 </w:t>
      </w:r>
      <w:r>
        <w:rPr/>
        <w:t>号税务工作文件《意料外的企业所得</w:t>
      </w:r>
      <w:r>
        <w:rPr>
          <w:spacing w:val="-1"/>
        </w:rPr>
        <w:t>税技术偏差——在低碳转型的背景下发电》。</w:t>
      </w:r>
    </w:p>
    <w:p>
      <w:pPr>
        <w:pStyle w:val="Heading3"/>
        <w:numPr>
          <w:ilvl w:val="1"/>
          <w:numId w:val="4"/>
        </w:numPr>
        <w:tabs>
          <w:tab w:pos="541" w:val="left" w:leader="none"/>
        </w:tabs>
        <w:spacing w:line="396" w:lineRule="exact" w:before="0" w:after="0"/>
        <w:ind w:left="540" w:right="0" w:hanging="420"/>
        <w:jc w:val="left"/>
        <w:rPr>
          <w:rFonts w:ascii="Times New Roman" w:eastAsia="Times New Roman"/>
        </w:rPr>
      </w:pPr>
      <w:r>
        <w:rPr/>
        <w:t>背景</w:t>
      </w:r>
    </w:p>
    <w:p>
      <w:pPr>
        <w:pStyle w:val="BodyText"/>
        <w:spacing w:line="336" w:lineRule="auto" w:before="125"/>
        <w:ind w:left="120" w:right="209" w:firstLine="479"/>
        <w:jc w:val="both"/>
      </w:pPr>
      <w:r>
        <w:rPr>
          <w:rFonts w:ascii="Times New Roman" w:eastAsia="Times New Roman"/>
        </w:rPr>
        <w:t>OECD </w:t>
      </w:r>
      <w:r>
        <w:rPr>
          <w:spacing w:val="-3"/>
        </w:rPr>
        <w:t>的此系列税务工作文件旨在向更多的读者提供有关 </w:t>
      </w:r>
      <w:r>
        <w:rPr>
          <w:rFonts w:ascii="Times New Roman" w:eastAsia="Times New Roman"/>
        </w:rPr>
        <w:t>OECD </w:t>
      </w:r>
      <w:r>
        <w:rPr/>
        <w:t>税收政策和管理中心所做的精选研究文章。</w:t>
      </w:r>
    </w:p>
    <w:p>
      <w:pPr>
        <w:pStyle w:val="Heading3"/>
        <w:numPr>
          <w:ilvl w:val="1"/>
          <w:numId w:val="4"/>
        </w:numPr>
        <w:tabs>
          <w:tab w:pos="541" w:val="left" w:leader="none"/>
        </w:tabs>
        <w:spacing w:line="401" w:lineRule="exact" w:before="0" w:after="0"/>
        <w:ind w:left="540" w:right="0" w:hanging="420"/>
        <w:jc w:val="left"/>
        <w:rPr>
          <w:rFonts w:ascii="Times New Roman" w:eastAsia="Times New Roman"/>
        </w:rPr>
      </w:pPr>
      <w:r>
        <w:rPr/>
        <w:t>内容</w:t>
      </w:r>
    </w:p>
    <w:p>
      <w:pPr>
        <w:pStyle w:val="BodyText"/>
        <w:spacing w:line="343" w:lineRule="auto" w:before="122"/>
        <w:ind w:left="120" w:right="115" w:firstLine="479"/>
        <w:jc w:val="both"/>
      </w:pPr>
      <w:r>
        <w:rPr>
          <w:spacing w:val="-9"/>
        </w:rPr>
        <w:t>这篇工作文件表明，如果生产同样一件产品，存在资本成本密集型和可变成</w:t>
      </w:r>
      <w:r>
        <w:rPr>
          <w:spacing w:val="-16"/>
        </w:rPr>
        <w:t>本密集型两种路径，企业所得税规定可能会导致不同的有效税率</w:t>
      </w:r>
      <w:r>
        <w:rPr>
          <w:spacing w:val="-6"/>
        </w:rPr>
        <w:t>（</w:t>
      </w:r>
      <w:r>
        <w:rPr>
          <w:rFonts w:ascii="Times New Roman" w:eastAsia="Times New Roman"/>
          <w:spacing w:val="-6"/>
        </w:rPr>
        <w:t>ETR</w:t>
      </w:r>
      <w:r>
        <w:rPr>
          <w:spacing w:val="-6"/>
        </w:rPr>
        <w:t>，</w:t>
      </w:r>
      <w:r>
        <w:rPr>
          <w:rFonts w:ascii="Times New Roman" w:eastAsia="Times New Roman"/>
          <w:spacing w:val="-6"/>
        </w:rPr>
        <w:t>Effective </w:t>
      </w:r>
      <w:r>
        <w:rPr>
          <w:rFonts w:ascii="Times New Roman" w:eastAsia="Times New Roman"/>
        </w:rPr>
        <w:t>Tax Rates</w:t>
      </w:r>
      <w:r>
        <w:rPr/>
        <w:t>）</w:t>
      </w:r>
      <w:r>
        <w:rPr>
          <w:spacing w:val="-4"/>
        </w:rPr>
        <w:t>。该工作文件中研究出一个框架，用于分析 </w:t>
      </w:r>
      <w:r>
        <w:rPr>
          <w:rFonts w:ascii="Times New Roman" w:eastAsia="Times New Roman"/>
        </w:rPr>
        <w:t>ETR </w:t>
      </w:r>
      <w:r>
        <w:rPr/>
        <w:t>差异的来源，并调</w:t>
      </w:r>
      <w:r>
        <w:rPr>
          <w:spacing w:val="-3"/>
        </w:rPr>
        <w:t>整现有模型以对比低碳和高碳发电技术下的预测性 </w:t>
      </w:r>
      <w:r>
        <w:rPr>
          <w:rFonts w:ascii="Times New Roman" w:eastAsia="Times New Roman"/>
        </w:rPr>
        <w:t>ETR</w:t>
      </w:r>
      <w:r>
        <w:rPr/>
        <w:t>，同时这个框架还考虑</w:t>
      </w:r>
    </w:p>
    <w:p>
      <w:pPr>
        <w:pStyle w:val="BodyText"/>
        <w:spacing w:line="348" w:lineRule="auto" w:before="21"/>
        <w:ind w:left="120" w:right="108"/>
      </w:pPr>
      <w:r>
        <w:rPr>
          <w:rFonts w:ascii="Times New Roman" w:eastAsia="Times New Roman"/>
        </w:rPr>
        <w:t>36 </w:t>
      </w:r>
      <w:r>
        <w:rPr/>
        <w:t>个国家的成本回收税收规定。这篇工作文件发现，如果是通过债务融资进行</w:t>
      </w:r>
      <w:r>
        <w:rPr>
          <w:spacing w:val="-11"/>
        </w:rPr>
        <w:t>投资的，标准税收制度是技术中性的，因为所支付利息的可扣除性弥补了折旧是</w:t>
      </w:r>
      <w:r>
        <w:rPr>
          <w:spacing w:val="-15"/>
        </w:rPr>
        <w:t>基于名义</w:t>
      </w:r>
      <w:r>
        <w:rPr/>
        <w:t>（而非实际</w:t>
      </w:r>
      <w:r>
        <w:rPr>
          <w:spacing w:val="-27"/>
        </w:rPr>
        <w:t>）</w:t>
      </w:r>
      <w:r>
        <w:rPr>
          <w:spacing w:val="-5"/>
        </w:rPr>
        <w:t>资本成本的事实。而如果股权融资进行投资，由于股权融</w:t>
      </w:r>
      <w:r>
        <w:rPr>
          <w:spacing w:val="-10"/>
        </w:rPr>
        <w:t>资成本通常无法税前扣除，资本成本密集型技术投资的 </w:t>
      </w:r>
      <w:r>
        <w:rPr>
          <w:rFonts w:ascii="Times New Roman" w:eastAsia="Times New Roman"/>
        </w:rPr>
        <w:t>ETRs </w:t>
      </w:r>
      <w:r>
        <w:rPr>
          <w:spacing w:val="-5"/>
        </w:rPr>
        <w:t>较高。由于低碳发</w:t>
      </w:r>
      <w:r>
        <w:rPr>
          <w:spacing w:val="-11"/>
        </w:rPr>
        <w:t>电技术往往是倾向于资本密集型的，因此这种结果说明了公司所得税税收制度与脱碳目标的无意中错位。</w:t>
      </w:r>
    </w:p>
    <w:p>
      <w:pPr>
        <w:pStyle w:val="BodyText"/>
        <w:spacing w:before="4"/>
        <w:rPr>
          <w:sz w:val="30"/>
        </w:rPr>
      </w:pPr>
    </w:p>
    <w:p>
      <w:pPr>
        <w:pStyle w:val="Heading3"/>
        <w:numPr>
          <w:ilvl w:val="0"/>
          <w:numId w:val="4"/>
        </w:numPr>
        <w:tabs>
          <w:tab w:pos="361" w:val="left" w:leader="none"/>
        </w:tabs>
        <w:spacing w:line="403" w:lineRule="exact" w:before="0" w:after="0"/>
        <w:ind w:left="360" w:right="0" w:hanging="240"/>
        <w:jc w:val="left"/>
      </w:pPr>
      <w:bookmarkStart w:name="_bookmark6" w:id="13"/>
      <w:bookmarkEnd w:id="13"/>
      <w:r>
        <w:rPr>
          <w:b w:val="0"/>
        </w:rPr>
      </w:r>
      <w:bookmarkStart w:name="_bookmark6" w:id="14"/>
      <w:bookmarkEnd w:id="14"/>
      <w:r>
        <w:rPr>
          <w:rFonts w:ascii="Times New Roman" w:eastAsia="Times New Roman"/>
        </w:rPr>
        <w:t>OE</w:t>
      </w:r>
      <w:r>
        <w:rPr>
          <w:rFonts w:ascii="Times New Roman" w:eastAsia="Times New Roman"/>
          <w:w w:val="99"/>
        </w:rPr>
        <w:t>CD</w:t>
      </w:r>
      <w:r>
        <w:rPr>
          <w:rFonts w:ascii="Times New Roman" w:eastAsia="Times New Roman"/>
          <w:spacing w:val="-1"/>
        </w:rPr>
        <w:t> </w:t>
      </w:r>
      <w:r>
        <w:rPr>
          <w:spacing w:val="-16"/>
        </w:rPr>
        <w:t>发布税务工作文件《国内收入变动：</w:t>
      </w:r>
      <w:r>
        <w:rPr>
          <w:rFonts w:ascii="Times New Roman" w:eastAsia="Times New Roman"/>
          <w:spacing w:val="-3"/>
        </w:rPr>
        <w:t>8</w:t>
      </w:r>
      <w:r>
        <w:rPr>
          <w:rFonts w:ascii="Times New Roman" w:eastAsia="Times New Roman"/>
        </w:rPr>
        <w:t>0 </w:t>
      </w:r>
      <w:r>
        <w:rPr/>
        <w:t>个国家的税收水平和结构数据》</w:t>
      </w:r>
    </w:p>
    <w:p>
      <w:pPr>
        <w:spacing w:line="196" w:lineRule="exact" w:before="0"/>
        <w:ind w:left="120" w:right="0" w:firstLine="0"/>
        <w:jc w:val="left"/>
        <w:rPr>
          <w:rFonts w:ascii="Microsoft YaHei" w:hAnsi="Microsoft YaHei"/>
          <w:b/>
          <w:sz w:val="12"/>
        </w:rPr>
      </w:pPr>
      <w:r>
        <w:rPr>
          <w:rFonts w:ascii="Microsoft YaHei" w:hAnsi="Microsoft YaHei"/>
          <w:b/>
          <w:sz w:val="12"/>
        </w:rPr>
        <w:t>②</w:t>
      </w:r>
    </w:p>
    <w:p>
      <w:pPr>
        <w:pStyle w:val="BodyText"/>
        <w:rPr>
          <w:rFonts w:ascii="Microsoft YaHei"/>
          <w:b/>
          <w:sz w:val="12"/>
        </w:rPr>
      </w:pPr>
    </w:p>
    <w:p>
      <w:pPr>
        <w:pStyle w:val="BodyText"/>
        <w:spacing w:before="14"/>
        <w:rPr>
          <w:rFonts w:ascii="Microsoft YaHei"/>
          <w:b/>
          <w:sz w:val="11"/>
        </w:rPr>
      </w:pPr>
    </w:p>
    <w:p>
      <w:pPr>
        <w:pStyle w:val="Heading3"/>
        <w:numPr>
          <w:ilvl w:val="1"/>
          <w:numId w:val="4"/>
        </w:numPr>
        <w:tabs>
          <w:tab w:pos="481" w:val="left" w:leader="none"/>
        </w:tabs>
        <w:spacing w:line="240" w:lineRule="auto" w:before="1" w:after="0"/>
        <w:ind w:left="480" w:right="0" w:hanging="360"/>
        <w:jc w:val="left"/>
        <w:rPr>
          <w:rFonts w:ascii="Times New Roman" w:eastAsia="Times New Roman"/>
          <w:color w:val="252525"/>
        </w:rPr>
      </w:pPr>
      <w:r>
        <w:rPr>
          <w:color w:val="252525"/>
        </w:rPr>
        <w:t>主要内容</w:t>
      </w:r>
    </w:p>
    <w:p>
      <w:pPr>
        <w:pStyle w:val="BodyText"/>
        <w:spacing w:line="357" w:lineRule="auto" w:before="125"/>
        <w:ind w:left="120" w:right="117" w:firstLine="479"/>
        <w:jc w:val="both"/>
      </w:pPr>
      <w:r>
        <w:rPr>
          <w:color w:val="252525"/>
          <w:spacing w:val="-4"/>
        </w:rPr>
        <w:t>国内资源调动对于资助政府服务和支持国内发展至关重要。税收是一项重要</w:t>
      </w:r>
      <w:r>
        <w:rPr>
          <w:color w:val="252525"/>
          <w:spacing w:val="-11"/>
        </w:rPr>
        <w:t>的国内收入来源，也可能影响其他社会或经济成果。因此，了解税收收入水平和</w:t>
      </w:r>
      <w:r>
        <w:rPr>
          <w:color w:val="252525"/>
          <w:spacing w:val="-15"/>
        </w:rPr>
        <w:t>结构的差异是讨论国内资源调动和税收改革的基础。本文利用新的全球收入统计</w:t>
      </w:r>
    </w:p>
    <w:p>
      <w:pPr>
        <w:pStyle w:val="BodyText"/>
        <w:rPr>
          <w:sz w:val="20"/>
        </w:rPr>
      </w:pPr>
    </w:p>
    <w:p>
      <w:pPr>
        <w:pStyle w:val="BodyText"/>
        <w:spacing w:before="5"/>
        <w:rPr>
          <w:sz w:val="16"/>
        </w:rPr>
      </w:pPr>
      <w:r>
        <w:rPr/>
        <w:drawing>
          <wp:anchor distT="0" distB="0" distL="0" distR="0" allowOverlap="1" layoutInCell="1" locked="0" behindDoc="0" simplePos="0" relativeHeight="1120">
            <wp:simplePos x="0" y="0"/>
            <wp:positionH relativeFrom="page">
              <wp:posOffset>1139494</wp:posOffset>
            </wp:positionH>
            <wp:positionV relativeFrom="paragraph">
              <wp:posOffset>161375</wp:posOffset>
            </wp:positionV>
            <wp:extent cx="1836734" cy="7619"/>
            <wp:effectExtent l="0" t="0" r="0" b="0"/>
            <wp:wrapTopAndBottom/>
            <wp:docPr id="15" name="image3.png" descr=""/>
            <wp:cNvGraphicFramePr>
              <a:graphicFrameLocks noChangeAspect="1"/>
            </wp:cNvGraphicFramePr>
            <a:graphic>
              <a:graphicData uri="http://schemas.openxmlformats.org/drawingml/2006/picture">
                <pic:pic>
                  <pic:nvPicPr>
                    <pic:cNvPr id="16"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line="240" w:lineRule="auto" w:before="76"/>
        <w:ind w:left="120" w:right="243" w:firstLine="0"/>
        <w:jc w:val="left"/>
        <w:rPr>
          <w:rFonts w:ascii="Times New Roman" w:hAnsi="Times New Roman"/>
          <w:sz w:val="18"/>
        </w:rPr>
      </w:pPr>
      <w:r>
        <w:rPr>
          <w:position w:val="6"/>
          <w:sz w:val="9"/>
        </w:rPr>
        <w:t>① </w:t>
      </w:r>
      <w:r>
        <w:rPr>
          <w:rFonts w:ascii="Times New Roman" w:hAnsi="Times New Roman"/>
          <w:sz w:val="18"/>
        </w:rPr>
        <w:t>OECD /(2018), Luisa Dressler, Tibor Hanappi And Kurt van Dender. Unintended technology-bias in corporate income taxation – The case of electricity generation in the low-carbon transition, OECD Publishing. https:/</w:t>
      </w:r>
      <w:hyperlink r:id="rId14">
        <w:r>
          <w:rPr>
            <w:rFonts w:ascii="Times New Roman" w:hAnsi="Times New Roman"/>
            <w:sz w:val="18"/>
          </w:rPr>
          <w:t>/www</w:t>
        </w:r>
      </w:hyperlink>
      <w:r>
        <w:rPr>
          <w:rFonts w:ascii="Times New Roman" w:hAnsi="Times New Roman"/>
          <w:sz w:val="18"/>
        </w:rPr>
        <w:t>.</w:t>
      </w:r>
      <w:hyperlink r:id="rId14">
        <w:r>
          <w:rPr>
            <w:rFonts w:ascii="Times New Roman" w:hAnsi="Times New Roman"/>
            <w:sz w:val="18"/>
          </w:rPr>
          <w:t>oecd-ilibrary.org/taxation/unintended-technology-bias-in-corporate-income-taxation_9f4a34ff-en</w:t>
        </w:r>
      </w:hyperlink>
    </w:p>
    <w:p>
      <w:pPr>
        <w:spacing w:line="223" w:lineRule="exact" w:before="0"/>
        <w:ind w:left="120" w:right="0" w:firstLine="0"/>
        <w:jc w:val="left"/>
        <w:rPr>
          <w:sz w:val="18"/>
        </w:rPr>
      </w:pPr>
      <w:r>
        <w:rPr>
          <w:w w:val="101"/>
          <w:position w:val="6"/>
          <w:sz w:val="9"/>
        </w:rPr>
        <w:t>②</w:t>
      </w:r>
      <w:r>
        <w:rPr>
          <w:position w:val="6"/>
          <w:sz w:val="9"/>
        </w:rPr>
        <w:t> </w:t>
      </w:r>
      <w:r>
        <w:rPr>
          <w:spacing w:val="0"/>
          <w:position w:val="6"/>
          <w:sz w:val="9"/>
        </w:rPr>
        <w:t> </w:t>
      </w:r>
      <w:r>
        <w:rPr>
          <w:rFonts w:ascii="Times New Roman" w:hAnsi="Times New Roman" w:eastAsia="Times New Roman"/>
          <w:sz w:val="18"/>
        </w:rPr>
        <w:t>OEC</w:t>
      </w:r>
      <w:r>
        <w:rPr>
          <w:rFonts w:ascii="Times New Roman" w:hAnsi="Times New Roman" w:eastAsia="Times New Roman"/>
          <w:spacing w:val="-18"/>
          <w:w w:val="99"/>
          <w:sz w:val="18"/>
        </w:rPr>
        <w:t>D</w:t>
      </w:r>
      <w:r>
        <w:rPr>
          <w:spacing w:val="-163"/>
          <w:sz w:val="18"/>
        </w:rPr>
        <w:t>（</w:t>
      </w:r>
      <w:r>
        <w:rPr>
          <w:rFonts w:ascii="Times New Roman" w:hAnsi="Times New Roman" w:eastAsia="Times New Roman"/>
          <w:sz w:val="18"/>
        </w:rPr>
        <w:t>/  </w:t>
      </w:r>
      <w:r>
        <w:rPr>
          <w:rFonts w:ascii="Times New Roman" w:hAnsi="Times New Roman" w:eastAsia="Times New Roman"/>
          <w:spacing w:val="-23"/>
          <w:sz w:val="18"/>
        </w:rPr>
        <w:t> </w:t>
      </w:r>
      <w:r>
        <w:rPr>
          <w:rFonts w:ascii="Times New Roman" w:hAnsi="Times New Roman" w:eastAsia="Times New Roman"/>
          <w:spacing w:val="0"/>
          <w:sz w:val="18"/>
        </w:rPr>
        <w:t>2</w:t>
      </w:r>
      <w:r>
        <w:rPr>
          <w:rFonts w:ascii="Times New Roman" w:hAnsi="Times New Roman" w:eastAsia="Times New Roman"/>
          <w:spacing w:val="-2"/>
          <w:sz w:val="18"/>
        </w:rPr>
        <w:t>0</w:t>
      </w:r>
      <w:r>
        <w:rPr>
          <w:rFonts w:ascii="Times New Roman" w:hAnsi="Times New Roman" w:eastAsia="Times New Roman"/>
          <w:spacing w:val="0"/>
          <w:sz w:val="18"/>
        </w:rPr>
        <w:t>18</w:t>
      </w:r>
      <w:r>
        <w:rPr>
          <w:spacing w:val="-68"/>
          <w:sz w:val="18"/>
        </w:rPr>
        <w:t>），</w:t>
      </w:r>
      <w:r>
        <w:rPr>
          <w:rFonts w:ascii="Times New Roman" w:hAnsi="Times New Roman" w:eastAsia="Times New Roman"/>
          <w:spacing w:val="-3"/>
          <w:w w:val="99"/>
          <w:sz w:val="18"/>
        </w:rPr>
        <w:t>D</w:t>
      </w:r>
      <w:r>
        <w:rPr>
          <w:rFonts w:ascii="Times New Roman" w:hAnsi="Times New Roman" w:eastAsia="Times New Roman"/>
          <w:spacing w:val="0"/>
          <w:sz w:val="18"/>
        </w:rPr>
        <w:t>o</w:t>
      </w:r>
      <w:r>
        <w:rPr>
          <w:rFonts w:ascii="Times New Roman" w:hAnsi="Times New Roman" w:eastAsia="Times New Roman"/>
          <w:spacing w:val="-4"/>
          <w:sz w:val="18"/>
        </w:rPr>
        <w:t>m</w:t>
      </w:r>
      <w:r>
        <w:rPr>
          <w:rFonts w:ascii="Times New Roman" w:hAnsi="Times New Roman" w:eastAsia="Times New Roman"/>
          <w:spacing w:val="-1"/>
          <w:sz w:val="18"/>
        </w:rPr>
        <w:t>e</w:t>
      </w:r>
      <w:r>
        <w:rPr>
          <w:rFonts w:ascii="Times New Roman" w:hAnsi="Times New Roman" w:eastAsia="Times New Roman"/>
          <w:w w:val="99"/>
          <w:sz w:val="18"/>
        </w:rPr>
        <w:t>stic</w:t>
      </w:r>
      <w:r>
        <w:rPr>
          <w:rFonts w:ascii="Times New Roman" w:hAnsi="Times New Roman" w:eastAsia="Times New Roman"/>
          <w:sz w:val="18"/>
        </w:rPr>
        <w:t> R</w:t>
      </w:r>
      <w:r>
        <w:rPr>
          <w:rFonts w:ascii="Times New Roman" w:hAnsi="Times New Roman" w:eastAsia="Times New Roman"/>
          <w:spacing w:val="0"/>
          <w:sz w:val="18"/>
        </w:rPr>
        <w:t>e</w:t>
      </w:r>
      <w:r>
        <w:rPr>
          <w:rFonts w:ascii="Times New Roman" w:hAnsi="Times New Roman" w:eastAsia="Times New Roman"/>
          <w:spacing w:val="-2"/>
          <w:sz w:val="18"/>
        </w:rPr>
        <w:t>v</w:t>
      </w:r>
      <w:r>
        <w:rPr>
          <w:rFonts w:ascii="Times New Roman" w:hAnsi="Times New Roman" w:eastAsia="Times New Roman"/>
          <w:spacing w:val="0"/>
          <w:sz w:val="18"/>
        </w:rPr>
        <w:t>enu</w:t>
      </w:r>
      <w:r>
        <w:rPr>
          <w:rFonts w:ascii="Times New Roman" w:hAnsi="Times New Roman" w:eastAsia="Times New Roman"/>
          <w:sz w:val="18"/>
        </w:rPr>
        <w:t>e</w:t>
      </w:r>
      <w:r>
        <w:rPr>
          <w:rFonts w:ascii="Times New Roman" w:hAnsi="Times New Roman" w:eastAsia="Times New Roman"/>
          <w:spacing w:val="-1"/>
          <w:sz w:val="18"/>
        </w:rPr>
        <w:t> </w:t>
      </w:r>
      <w:r>
        <w:rPr>
          <w:rFonts w:ascii="Times New Roman" w:hAnsi="Times New Roman" w:eastAsia="Times New Roman"/>
          <w:spacing w:val="-2"/>
          <w:w w:val="99"/>
          <w:sz w:val="18"/>
        </w:rPr>
        <w:t>M</w:t>
      </w:r>
      <w:r>
        <w:rPr>
          <w:rFonts w:ascii="Times New Roman" w:hAnsi="Times New Roman" w:eastAsia="Times New Roman"/>
          <w:spacing w:val="0"/>
          <w:sz w:val="18"/>
        </w:rPr>
        <w:t>ob</w:t>
      </w:r>
      <w:r>
        <w:rPr>
          <w:rFonts w:ascii="Times New Roman" w:hAnsi="Times New Roman" w:eastAsia="Times New Roman"/>
          <w:spacing w:val="-2"/>
          <w:sz w:val="18"/>
        </w:rPr>
        <w:t>i</w:t>
      </w:r>
      <w:r>
        <w:rPr>
          <w:rFonts w:ascii="Times New Roman" w:hAnsi="Times New Roman" w:eastAsia="Times New Roman"/>
          <w:sz w:val="18"/>
        </w:rPr>
        <w:t>li</w:t>
      </w:r>
      <w:r>
        <w:rPr>
          <w:rFonts w:ascii="Times New Roman" w:hAnsi="Times New Roman" w:eastAsia="Times New Roman"/>
          <w:w w:val="99"/>
          <w:sz w:val="18"/>
        </w:rPr>
        <w:t>s</w:t>
      </w:r>
      <w:r>
        <w:rPr>
          <w:rFonts w:ascii="Times New Roman" w:hAnsi="Times New Roman" w:eastAsia="Times New Roman"/>
          <w:spacing w:val="-2"/>
          <w:w w:val="99"/>
          <w:sz w:val="18"/>
        </w:rPr>
        <w:t>a</w:t>
      </w:r>
      <w:r>
        <w:rPr>
          <w:rFonts w:ascii="Times New Roman" w:hAnsi="Times New Roman" w:eastAsia="Times New Roman"/>
          <w:sz w:val="18"/>
        </w:rPr>
        <w:t>ti</w:t>
      </w:r>
      <w:r>
        <w:rPr>
          <w:rFonts w:ascii="Times New Roman" w:hAnsi="Times New Roman" w:eastAsia="Times New Roman"/>
          <w:spacing w:val="-2"/>
          <w:sz w:val="18"/>
        </w:rPr>
        <w:t>o</w:t>
      </w:r>
      <w:r>
        <w:rPr>
          <w:rFonts w:ascii="Times New Roman" w:hAnsi="Times New Roman" w:eastAsia="Times New Roman"/>
          <w:spacing w:val="2"/>
          <w:sz w:val="18"/>
        </w:rPr>
        <w:t>n</w:t>
      </w:r>
      <w:r>
        <w:rPr>
          <w:spacing w:val="-68"/>
          <w:sz w:val="18"/>
        </w:rPr>
        <w:t>：</w:t>
      </w:r>
      <w:r>
        <w:rPr>
          <w:rFonts w:ascii="Times New Roman" w:hAnsi="Times New Roman" w:eastAsia="Times New Roman"/>
          <w:w w:val="99"/>
          <w:sz w:val="18"/>
        </w:rPr>
        <w:t>A</w:t>
      </w:r>
      <w:r>
        <w:rPr>
          <w:rFonts w:ascii="Times New Roman" w:hAnsi="Times New Roman" w:eastAsia="Times New Roman"/>
          <w:spacing w:val="-3"/>
          <w:sz w:val="18"/>
        </w:rPr>
        <w:t> </w:t>
      </w:r>
      <w:r>
        <w:rPr>
          <w:rFonts w:ascii="Times New Roman" w:hAnsi="Times New Roman" w:eastAsia="Times New Roman"/>
          <w:spacing w:val="0"/>
          <w:sz w:val="18"/>
        </w:rPr>
        <w:t>n</w:t>
      </w:r>
      <w:r>
        <w:rPr>
          <w:rFonts w:ascii="Times New Roman" w:hAnsi="Times New Roman" w:eastAsia="Times New Roman"/>
          <w:spacing w:val="-1"/>
          <w:sz w:val="18"/>
        </w:rPr>
        <w:t>e</w:t>
      </w:r>
      <w:r>
        <w:rPr>
          <w:rFonts w:ascii="Times New Roman" w:hAnsi="Times New Roman" w:eastAsia="Times New Roman"/>
          <w:w w:val="99"/>
          <w:sz w:val="18"/>
        </w:rPr>
        <w:t>w</w:t>
      </w:r>
      <w:r>
        <w:rPr>
          <w:rFonts w:ascii="Times New Roman" w:hAnsi="Times New Roman" w:eastAsia="Times New Roman"/>
          <w:spacing w:val="-3"/>
          <w:sz w:val="18"/>
        </w:rPr>
        <w:t> </w:t>
      </w:r>
      <w:r>
        <w:rPr>
          <w:rFonts w:ascii="Times New Roman" w:hAnsi="Times New Roman" w:eastAsia="Times New Roman"/>
          <w:spacing w:val="0"/>
          <w:sz w:val="18"/>
        </w:rPr>
        <w:t>d</w:t>
      </w:r>
      <w:r>
        <w:rPr>
          <w:rFonts w:ascii="Times New Roman" w:hAnsi="Times New Roman" w:eastAsia="Times New Roman"/>
          <w:spacing w:val="-1"/>
          <w:sz w:val="18"/>
        </w:rPr>
        <w:t>a</w:t>
      </w:r>
      <w:r>
        <w:rPr>
          <w:rFonts w:ascii="Times New Roman" w:hAnsi="Times New Roman" w:eastAsia="Times New Roman"/>
          <w:sz w:val="18"/>
        </w:rPr>
        <w:t>tab</w:t>
      </w:r>
      <w:r>
        <w:rPr>
          <w:rFonts w:ascii="Times New Roman" w:hAnsi="Times New Roman" w:eastAsia="Times New Roman"/>
          <w:spacing w:val="-1"/>
          <w:sz w:val="18"/>
        </w:rPr>
        <w:t>a</w:t>
      </w:r>
      <w:r>
        <w:rPr>
          <w:rFonts w:ascii="Times New Roman" w:hAnsi="Times New Roman" w:eastAsia="Times New Roman"/>
          <w:spacing w:val="0"/>
          <w:w w:val="99"/>
          <w:sz w:val="18"/>
        </w:rPr>
        <w:t>s</w:t>
      </w:r>
      <w:r>
        <w:rPr>
          <w:rFonts w:ascii="Times New Roman" w:hAnsi="Times New Roman" w:eastAsia="Times New Roman"/>
          <w:sz w:val="18"/>
        </w:rPr>
        <w:t>e</w:t>
      </w:r>
      <w:r>
        <w:rPr>
          <w:rFonts w:ascii="Times New Roman" w:hAnsi="Times New Roman" w:eastAsia="Times New Roman"/>
          <w:spacing w:val="-1"/>
          <w:sz w:val="18"/>
        </w:rPr>
        <w:t> </w:t>
      </w:r>
      <w:r>
        <w:rPr>
          <w:rFonts w:ascii="Times New Roman" w:hAnsi="Times New Roman" w:eastAsia="Times New Roman"/>
          <w:spacing w:val="0"/>
          <w:sz w:val="18"/>
        </w:rPr>
        <w:t>o</w:t>
      </w:r>
      <w:r>
        <w:rPr>
          <w:rFonts w:ascii="Times New Roman" w:hAnsi="Times New Roman" w:eastAsia="Times New Roman"/>
          <w:sz w:val="18"/>
        </w:rPr>
        <w:t>n</w:t>
      </w:r>
      <w:r>
        <w:rPr>
          <w:rFonts w:ascii="Times New Roman" w:hAnsi="Times New Roman" w:eastAsia="Times New Roman"/>
          <w:spacing w:val="0"/>
          <w:sz w:val="18"/>
        </w:rPr>
        <w:t> </w:t>
      </w:r>
      <w:r>
        <w:rPr>
          <w:rFonts w:ascii="Times New Roman" w:hAnsi="Times New Roman" w:eastAsia="Times New Roman"/>
          <w:sz w:val="18"/>
        </w:rPr>
        <w:t>tax</w:t>
      </w:r>
      <w:r>
        <w:rPr>
          <w:rFonts w:ascii="Times New Roman" w:hAnsi="Times New Roman" w:eastAsia="Times New Roman"/>
          <w:spacing w:val="-2"/>
          <w:sz w:val="18"/>
        </w:rPr>
        <w:t> </w:t>
      </w:r>
      <w:r>
        <w:rPr>
          <w:rFonts w:ascii="Times New Roman" w:hAnsi="Times New Roman" w:eastAsia="Times New Roman"/>
          <w:sz w:val="18"/>
        </w:rPr>
        <w:t>le</w:t>
      </w:r>
      <w:r>
        <w:rPr>
          <w:rFonts w:ascii="Times New Roman" w:hAnsi="Times New Roman" w:eastAsia="Times New Roman"/>
          <w:spacing w:val="-2"/>
          <w:sz w:val="18"/>
        </w:rPr>
        <w:t>v</w:t>
      </w:r>
      <w:r>
        <w:rPr>
          <w:rFonts w:ascii="Times New Roman" w:hAnsi="Times New Roman" w:eastAsia="Times New Roman"/>
          <w:spacing w:val="-1"/>
          <w:sz w:val="18"/>
        </w:rPr>
        <w:t>e</w:t>
      </w:r>
      <w:r>
        <w:rPr>
          <w:rFonts w:ascii="Times New Roman" w:hAnsi="Times New Roman" w:eastAsia="Times New Roman"/>
          <w:w w:val="99"/>
          <w:sz w:val="18"/>
        </w:rPr>
        <w:t>ls</w:t>
      </w:r>
      <w:r>
        <w:rPr>
          <w:rFonts w:ascii="Times New Roman" w:hAnsi="Times New Roman" w:eastAsia="Times New Roman"/>
          <w:sz w:val="18"/>
        </w:rPr>
        <w:t> and</w:t>
      </w:r>
      <w:r>
        <w:rPr>
          <w:rFonts w:ascii="Times New Roman" w:hAnsi="Times New Roman" w:eastAsia="Times New Roman"/>
          <w:spacing w:val="0"/>
          <w:sz w:val="18"/>
        </w:rPr>
        <w:t> </w:t>
      </w:r>
      <w:r>
        <w:rPr>
          <w:rFonts w:ascii="Times New Roman" w:hAnsi="Times New Roman" w:eastAsia="Times New Roman"/>
          <w:w w:val="99"/>
          <w:sz w:val="18"/>
        </w:rPr>
        <w:t>st</w:t>
      </w:r>
      <w:r>
        <w:rPr>
          <w:rFonts w:ascii="Times New Roman" w:hAnsi="Times New Roman" w:eastAsia="Times New Roman"/>
          <w:spacing w:val="-3"/>
          <w:w w:val="99"/>
          <w:sz w:val="18"/>
        </w:rPr>
        <w:t>r</w:t>
      </w:r>
      <w:r>
        <w:rPr>
          <w:rFonts w:ascii="Times New Roman" w:hAnsi="Times New Roman" w:eastAsia="Times New Roman"/>
          <w:spacing w:val="0"/>
          <w:sz w:val="18"/>
        </w:rPr>
        <w:t>u</w:t>
      </w:r>
      <w:r>
        <w:rPr>
          <w:rFonts w:ascii="Times New Roman" w:hAnsi="Times New Roman" w:eastAsia="Times New Roman"/>
          <w:spacing w:val="-1"/>
          <w:sz w:val="18"/>
        </w:rPr>
        <w:t>c</w:t>
      </w:r>
      <w:r>
        <w:rPr>
          <w:rFonts w:ascii="Times New Roman" w:hAnsi="Times New Roman" w:eastAsia="Times New Roman"/>
          <w:sz w:val="18"/>
        </w:rPr>
        <w:t>t</w:t>
      </w:r>
      <w:r>
        <w:rPr>
          <w:rFonts w:ascii="Times New Roman" w:hAnsi="Times New Roman" w:eastAsia="Times New Roman"/>
          <w:spacing w:val="0"/>
          <w:sz w:val="18"/>
        </w:rPr>
        <w:t>u</w:t>
      </w:r>
      <w:r>
        <w:rPr>
          <w:rFonts w:ascii="Times New Roman" w:hAnsi="Times New Roman" w:eastAsia="Times New Roman"/>
          <w:sz w:val="18"/>
        </w:rPr>
        <w:t>r</w:t>
      </w:r>
      <w:r>
        <w:rPr>
          <w:rFonts w:ascii="Times New Roman" w:hAnsi="Times New Roman" w:eastAsia="Times New Roman"/>
          <w:spacing w:val="-1"/>
          <w:sz w:val="18"/>
        </w:rPr>
        <w:t>e</w:t>
      </w:r>
      <w:r>
        <w:rPr>
          <w:rFonts w:ascii="Times New Roman" w:hAnsi="Times New Roman" w:eastAsia="Times New Roman"/>
          <w:w w:val="99"/>
          <w:sz w:val="18"/>
        </w:rPr>
        <w:t>s</w:t>
      </w:r>
      <w:r>
        <w:rPr>
          <w:rFonts w:ascii="Times New Roman" w:hAnsi="Times New Roman" w:eastAsia="Times New Roman"/>
          <w:sz w:val="18"/>
        </w:rPr>
        <w:t> in</w:t>
      </w:r>
      <w:r>
        <w:rPr>
          <w:rFonts w:ascii="Times New Roman" w:hAnsi="Times New Roman" w:eastAsia="Times New Roman"/>
          <w:spacing w:val="-1"/>
          <w:sz w:val="18"/>
        </w:rPr>
        <w:t> </w:t>
      </w:r>
      <w:r>
        <w:rPr>
          <w:rFonts w:ascii="Times New Roman" w:hAnsi="Times New Roman" w:eastAsia="Times New Roman"/>
          <w:spacing w:val="-2"/>
          <w:sz w:val="18"/>
        </w:rPr>
        <w:t>8</w:t>
      </w:r>
      <w:r>
        <w:rPr>
          <w:rFonts w:ascii="Times New Roman" w:hAnsi="Times New Roman" w:eastAsia="Times New Roman"/>
          <w:sz w:val="18"/>
        </w:rPr>
        <w:t>0</w:t>
      </w:r>
      <w:r>
        <w:rPr>
          <w:rFonts w:ascii="Times New Roman" w:hAnsi="Times New Roman" w:eastAsia="Times New Roman"/>
          <w:spacing w:val="0"/>
          <w:sz w:val="18"/>
        </w:rPr>
        <w:t> </w:t>
      </w:r>
      <w:r>
        <w:rPr>
          <w:rFonts w:ascii="Times New Roman" w:hAnsi="Times New Roman" w:eastAsia="Times New Roman"/>
          <w:spacing w:val="-1"/>
          <w:sz w:val="18"/>
        </w:rPr>
        <w:t>c</w:t>
      </w:r>
      <w:r>
        <w:rPr>
          <w:rFonts w:ascii="Times New Roman" w:hAnsi="Times New Roman" w:eastAsia="Times New Roman"/>
          <w:spacing w:val="0"/>
          <w:sz w:val="18"/>
        </w:rPr>
        <w:t>o</w:t>
      </w:r>
      <w:r>
        <w:rPr>
          <w:rFonts w:ascii="Times New Roman" w:hAnsi="Times New Roman" w:eastAsia="Times New Roman"/>
          <w:spacing w:val="-2"/>
          <w:sz w:val="18"/>
        </w:rPr>
        <w:t>u</w:t>
      </w:r>
      <w:r>
        <w:rPr>
          <w:rFonts w:ascii="Times New Roman" w:hAnsi="Times New Roman" w:eastAsia="Times New Roman"/>
          <w:spacing w:val="0"/>
          <w:sz w:val="18"/>
        </w:rPr>
        <w:t>n</w:t>
      </w:r>
      <w:r>
        <w:rPr>
          <w:rFonts w:ascii="Times New Roman" w:hAnsi="Times New Roman" w:eastAsia="Times New Roman"/>
          <w:sz w:val="18"/>
        </w:rPr>
        <w:t>tri</w:t>
      </w:r>
      <w:r>
        <w:rPr>
          <w:rFonts w:ascii="Times New Roman" w:hAnsi="Times New Roman" w:eastAsia="Times New Roman"/>
          <w:spacing w:val="-1"/>
          <w:sz w:val="18"/>
        </w:rPr>
        <w:t>e</w:t>
      </w:r>
      <w:r>
        <w:rPr>
          <w:rFonts w:ascii="Times New Roman" w:hAnsi="Times New Roman" w:eastAsia="Times New Roman"/>
          <w:spacing w:val="3"/>
          <w:w w:val="99"/>
          <w:sz w:val="18"/>
        </w:rPr>
        <w:t>s</w:t>
      </w:r>
      <w:r>
        <w:rPr>
          <w:sz w:val="18"/>
        </w:rPr>
        <w:t>，</w:t>
      </w:r>
    </w:p>
    <w:p>
      <w:pPr>
        <w:spacing w:line="207" w:lineRule="exact" w:before="9"/>
        <w:ind w:left="120" w:right="0" w:firstLine="0"/>
        <w:jc w:val="left"/>
        <w:rPr>
          <w:rFonts w:ascii="Times New Roman"/>
          <w:sz w:val="18"/>
        </w:rPr>
      </w:pPr>
      <w:r>
        <w:rPr>
          <w:rFonts w:ascii="Times New Roman"/>
          <w:sz w:val="18"/>
        </w:rPr>
        <w:t>OECD Publishing, Paris.</w:t>
      </w:r>
    </w:p>
    <w:p>
      <w:pPr>
        <w:spacing w:line="207" w:lineRule="exact" w:before="0"/>
        <w:ind w:left="120" w:right="0" w:firstLine="0"/>
        <w:jc w:val="left"/>
        <w:rPr>
          <w:rFonts w:ascii="Times New Roman"/>
          <w:sz w:val="18"/>
        </w:rPr>
      </w:pPr>
      <w:r>
        <w:rPr>
          <w:rFonts w:ascii="Times New Roman"/>
          <w:sz w:val="18"/>
        </w:rPr>
        <w:t>https:/</w:t>
      </w:r>
      <w:hyperlink r:id="rId15">
        <w:r>
          <w:rPr>
            <w:rFonts w:ascii="Times New Roman"/>
            <w:sz w:val="18"/>
          </w:rPr>
          <w:t>/www</w:t>
        </w:r>
      </w:hyperlink>
      <w:r>
        <w:rPr>
          <w:rFonts w:ascii="Times New Roman"/>
          <w:sz w:val="18"/>
        </w:rPr>
        <w:t>.</w:t>
      </w:r>
      <w:hyperlink r:id="rId15">
        <w:r>
          <w:rPr>
            <w:rFonts w:ascii="Times New Roman"/>
            <w:sz w:val="18"/>
          </w:rPr>
          <w:t>oecd-ilibrary.org/taxation/domestic-revenue-mobilisation_a87feae8-en</w:t>
        </w:r>
      </w:hyperlink>
    </w:p>
    <w:p>
      <w:pPr>
        <w:spacing w:after="0" w:line="207" w:lineRule="exact"/>
        <w:jc w:val="left"/>
        <w:rPr>
          <w:rFonts w:ascii="Times New Roman"/>
          <w:sz w:val="18"/>
        </w:rPr>
        <w:sectPr>
          <w:pgSz w:w="11900" w:h="16850"/>
          <w:pgMar w:header="0" w:footer="992" w:top="1380" w:bottom="1180" w:left="1680" w:right="1680"/>
        </w:sectPr>
      </w:pPr>
    </w:p>
    <w:p>
      <w:pPr>
        <w:pStyle w:val="BodyText"/>
        <w:spacing w:line="343" w:lineRule="auto" w:before="19"/>
        <w:ind w:left="120" w:right="354"/>
        <w:jc w:val="both"/>
      </w:pPr>
      <w:r>
        <w:rPr>
          <w:color w:val="252525"/>
          <w:spacing w:val="-8"/>
        </w:rPr>
        <w:t>数据库，展示了 </w:t>
      </w:r>
      <w:r>
        <w:rPr>
          <w:rFonts w:ascii="Times New Roman" w:eastAsia="Times New Roman"/>
          <w:color w:val="252525"/>
        </w:rPr>
        <w:t>80 </w:t>
      </w:r>
      <w:r>
        <w:rPr>
          <w:color w:val="252525"/>
        </w:rPr>
        <w:t>个国家税收收入水平和税收结构，比较了不同国家和地区在</w:t>
      </w:r>
      <w:r>
        <w:rPr>
          <w:color w:val="252525"/>
          <w:spacing w:val="-7"/>
        </w:rPr>
        <w:t>不同时期的税收与 </w:t>
      </w:r>
      <w:r>
        <w:rPr>
          <w:rFonts w:ascii="Times New Roman" w:eastAsia="Times New Roman"/>
          <w:color w:val="252525"/>
        </w:rPr>
        <w:t>GDP </w:t>
      </w:r>
      <w:r>
        <w:rPr>
          <w:color w:val="252525"/>
          <w:spacing w:val="-15"/>
        </w:rPr>
        <w:t>比率和税收结构，对人均 </w:t>
      </w:r>
      <w:r>
        <w:rPr>
          <w:rFonts w:ascii="Times New Roman" w:eastAsia="Times New Roman"/>
          <w:color w:val="252525"/>
        </w:rPr>
        <w:t>GDP </w:t>
      </w:r>
      <w:r>
        <w:rPr>
          <w:color w:val="252525"/>
        </w:rPr>
        <w:t>和税收结构之间的关联性</w:t>
      </w:r>
      <w:r>
        <w:rPr>
          <w:color w:val="252525"/>
          <w:spacing w:val="-9"/>
        </w:rPr>
        <w:t>进行分析和评估。新数据库为研究人员和财政政策分析师提供了宝贵的见解，并提供了高水平的可比性和可靠性。</w:t>
      </w:r>
    </w:p>
    <w:p>
      <w:pPr>
        <w:pStyle w:val="Heading3"/>
        <w:numPr>
          <w:ilvl w:val="1"/>
          <w:numId w:val="4"/>
        </w:numPr>
        <w:tabs>
          <w:tab w:pos="481" w:val="left" w:leader="none"/>
        </w:tabs>
        <w:spacing w:line="391" w:lineRule="exact" w:before="0" w:after="0"/>
        <w:ind w:left="480" w:right="0" w:hanging="360"/>
        <w:jc w:val="both"/>
        <w:rPr>
          <w:rFonts w:ascii="Times New Roman" w:eastAsia="Times New Roman"/>
          <w:color w:val="252525"/>
        </w:rPr>
      </w:pPr>
      <w:r>
        <w:rPr>
          <w:color w:val="252525"/>
        </w:rPr>
        <w:t>结论</w:t>
      </w:r>
    </w:p>
    <w:p>
      <w:pPr>
        <w:pStyle w:val="BodyText"/>
        <w:spacing w:line="336" w:lineRule="auto" w:before="125"/>
        <w:ind w:left="120" w:right="221" w:firstLine="479"/>
      </w:pPr>
      <w:r>
        <w:rPr>
          <w:color w:val="252525"/>
          <w:spacing w:val="-5"/>
        </w:rPr>
        <w:t>全球收入统计数据库显示了 </w:t>
      </w:r>
      <w:r>
        <w:rPr>
          <w:rFonts w:ascii="Times New Roman" w:eastAsia="Times New Roman"/>
          <w:color w:val="252525"/>
        </w:rPr>
        <w:t>1990 </w:t>
      </w:r>
      <w:r>
        <w:rPr>
          <w:color w:val="252525"/>
          <w:spacing w:val="-20"/>
        </w:rPr>
        <w:t>年至 </w:t>
      </w:r>
      <w:r>
        <w:rPr>
          <w:rFonts w:ascii="Times New Roman" w:eastAsia="Times New Roman"/>
          <w:color w:val="252525"/>
        </w:rPr>
        <w:t>2015 </w:t>
      </w:r>
      <w:r>
        <w:rPr>
          <w:color w:val="252525"/>
          <w:spacing w:val="-15"/>
        </w:rPr>
        <w:t>年期间 </w:t>
      </w:r>
      <w:r>
        <w:rPr>
          <w:rFonts w:ascii="Times New Roman" w:eastAsia="Times New Roman"/>
          <w:color w:val="252525"/>
        </w:rPr>
        <w:t>80 </w:t>
      </w:r>
      <w:r>
        <w:rPr>
          <w:color w:val="252525"/>
        </w:rPr>
        <w:t>个国家税收水平和结</w:t>
      </w:r>
      <w:r>
        <w:rPr>
          <w:color w:val="252525"/>
          <w:spacing w:val="-16"/>
        </w:rPr>
        <w:t>构的变化，突出了数据库中包含的不同国家和地区税收收入变化。在这些国家中，</w:t>
      </w:r>
    </w:p>
    <w:p>
      <w:pPr>
        <w:pStyle w:val="BodyText"/>
        <w:spacing w:line="336" w:lineRule="auto" w:before="58"/>
        <w:ind w:left="120"/>
      </w:pPr>
      <w:r>
        <w:rPr>
          <w:rFonts w:ascii="Times New Roman" w:eastAsia="Times New Roman"/>
          <w:color w:val="252525"/>
        </w:rPr>
        <w:t>2015 </w:t>
      </w:r>
      <w:r>
        <w:rPr>
          <w:color w:val="252525"/>
        </w:rPr>
        <w:t>年税收占</w:t>
      </w:r>
      <w:r>
        <w:rPr>
          <w:rFonts w:ascii="Times New Roman" w:eastAsia="Times New Roman"/>
          <w:color w:val="252525"/>
        </w:rPr>
        <w:t>GDP </w:t>
      </w:r>
      <w:r>
        <w:rPr>
          <w:color w:val="252525"/>
        </w:rPr>
        <w:t>的比率从</w:t>
      </w:r>
      <w:r>
        <w:rPr>
          <w:rFonts w:ascii="Times New Roman" w:eastAsia="Times New Roman"/>
          <w:color w:val="252525"/>
        </w:rPr>
        <w:t>10.8</w:t>
      </w:r>
      <w:r>
        <w:rPr>
          <w:color w:val="252525"/>
        </w:rPr>
        <w:t>％到</w:t>
      </w:r>
      <w:r>
        <w:rPr>
          <w:rFonts w:ascii="Times New Roman" w:eastAsia="Times New Roman"/>
          <w:color w:val="252525"/>
        </w:rPr>
        <w:t>45.9</w:t>
      </w:r>
      <w:r>
        <w:rPr>
          <w:color w:val="252525"/>
        </w:rPr>
        <w:t>％不等，其中一半国家在</w:t>
      </w:r>
      <w:r>
        <w:rPr>
          <w:rFonts w:ascii="Times New Roman" w:eastAsia="Times New Roman"/>
          <w:color w:val="252525"/>
        </w:rPr>
        <w:t>18.2</w:t>
      </w:r>
      <w:r>
        <w:rPr>
          <w:color w:val="252525"/>
        </w:rPr>
        <w:t>％和</w:t>
      </w:r>
      <w:r>
        <w:rPr>
          <w:rFonts w:ascii="Times New Roman" w:eastAsia="Times New Roman"/>
          <w:color w:val="252525"/>
        </w:rPr>
        <w:t>33.2</w:t>
      </w:r>
      <w:r>
        <w:rPr>
          <w:color w:val="252525"/>
        </w:rPr>
        <w:t>％ 之间。</w:t>
      </w:r>
      <w:r>
        <w:rPr>
          <w:rFonts w:ascii="Times New Roman" w:eastAsia="Times New Roman"/>
          <w:color w:val="252525"/>
        </w:rPr>
        <w:t>OECD </w:t>
      </w:r>
      <w:r>
        <w:rPr>
          <w:color w:val="252525"/>
        </w:rPr>
        <w:t>国家的税收占 </w:t>
      </w:r>
      <w:r>
        <w:rPr>
          <w:rFonts w:ascii="Times New Roman" w:eastAsia="Times New Roman"/>
          <w:color w:val="252525"/>
        </w:rPr>
        <w:t>GDP </w:t>
      </w:r>
      <w:r>
        <w:rPr>
          <w:color w:val="252525"/>
        </w:rPr>
        <w:t>比率往往更高。</w:t>
      </w:r>
    </w:p>
    <w:p>
      <w:pPr>
        <w:pStyle w:val="BodyText"/>
        <w:spacing w:line="338" w:lineRule="auto" w:before="29"/>
        <w:ind w:left="120" w:right="372" w:firstLine="479"/>
        <w:jc w:val="both"/>
      </w:pPr>
      <w:r>
        <w:rPr>
          <w:color w:val="252525"/>
          <w:spacing w:val="-30"/>
        </w:rPr>
        <w:t>自 </w:t>
      </w:r>
      <w:r>
        <w:rPr>
          <w:rFonts w:ascii="Times New Roman" w:eastAsia="Times New Roman"/>
          <w:color w:val="252525"/>
        </w:rPr>
        <w:t>2000 </w:t>
      </w:r>
      <w:r>
        <w:rPr>
          <w:color w:val="252525"/>
          <w:spacing w:val="-4"/>
        </w:rPr>
        <w:t>年以来，四分之三国家的税收占 </w:t>
      </w:r>
      <w:r>
        <w:rPr>
          <w:rFonts w:ascii="Times New Roman" w:eastAsia="Times New Roman"/>
          <w:color w:val="252525"/>
        </w:rPr>
        <w:t>GDP </w:t>
      </w:r>
      <w:r>
        <w:rPr>
          <w:color w:val="252525"/>
          <w:spacing w:val="-6"/>
        </w:rPr>
        <w:t>比率上升，该比率在 </w:t>
      </w:r>
      <w:r>
        <w:rPr>
          <w:rFonts w:ascii="Times New Roman" w:eastAsia="Times New Roman"/>
          <w:color w:val="252525"/>
        </w:rPr>
        <w:t>2015 </w:t>
      </w:r>
      <w:r>
        <w:rPr>
          <w:color w:val="252525"/>
        </w:rPr>
        <w:t>年</w:t>
      </w:r>
      <w:r>
        <w:rPr>
          <w:color w:val="252525"/>
          <w:spacing w:val="-31"/>
        </w:rPr>
        <w:t>较 </w:t>
      </w:r>
      <w:r>
        <w:rPr>
          <w:rFonts w:ascii="Times New Roman" w:eastAsia="Times New Roman"/>
          <w:color w:val="252525"/>
        </w:rPr>
        <w:t>2000 </w:t>
      </w:r>
      <w:r>
        <w:rPr>
          <w:color w:val="252525"/>
        </w:rPr>
        <w:t>年更为均匀。本文还考虑了数据库中所包含国家的税收结构随时间的变化，观察到三种变化：（</w:t>
      </w:r>
      <w:r>
        <w:rPr>
          <w:rFonts w:ascii="Times New Roman" w:eastAsia="Times New Roman"/>
          <w:color w:val="252525"/>
        </w:rPr>
        <w:t>1</w:t>
      </w:r>
      <w:r>
        <w:rPr>
          <w:color w:val="252525"/>
        </w:rPr>
        <w:t>）四分之一的国家，除日本外，其余均来自非洲或拉丁美洲和加勒比地区，主要税种经历了强劲增长；（</w:t>
      </w:r>
      <w:r>
        <w:rPr>
          <w:rFonts w:ascii="Times New Roman" w:eastAsia="Times New Roman"/>
          <w:color w:val="252525"/>
        </w:rPr>
        <w:t>2</w:t>
      </w:r>
      <w:r>
        <w:rPr>
          <w:color w:val="252525"/>
        </w:rPr>
        <w:t>）</w:t>
      </w:r>
      <w:r>
        <w:rPr>
          <w:color w:val="252525"/>
          <w:spacing w:val="-30"/>
        </w:rPr>
        <w:t>从 </w:t>
      </w:r>
      <w:r>
        <w:rPr>
          <w:rFonts w:ascii="Times New Roman" w:eastAsia="Times New Roman"/>
          <w:color w:val="252525"/>
        </w:rPr>
        <w:t>2000 </w:t>
      </w:r>
      <w:r>
        <w:rPr>
          <w:color w:val="252525"/>
          <w:spacing w:val="-20"/>
        </w:rPr>
        <w:t>年到 </w:t>
      </w:r>
      <w:r>
        <w:rPr>
          <w:rFonts w:ascii="Times New Roman" w:eastAsia="Times New Roman"/>
          <w:color w:val="252525"/>
        </w:rPr>
        <w:t>2015 </w:t>
      </w:r>
      <w:r>
        <w:rPr>
          <w:color w:val="252525"/>
        </w:rPr>
        <w:t>年， </w:t>
      </w:r>
      <w:r>
        <w:rPr>
          <w:color w:val="252525"/>
          <w:spacing w:val="-16"/>
        </w:rPr>
        <w:t>税收占 </w:t>
      </w:r>
      <w:r>
        <w:rPr>
          <w:rFonts w:ascii="Times New Roman" w:eastAsia="Times New Roman"/>
          <w:color w:val="252525"/>
        </w:rPr>
        <w:t>GDP </w:t>
      </w:r>
      <w:r>
        <w:rPr>
          <w:color w:val="252525"/>
        </w:rPr>
        <w:t>比率下降的国家往往受到所得税下降的影响，这一变化在亚洲和</w:t>
      </w:r>
    </w:p>
    <w:p>
      <w:pPr>
        <w:pStyle w:val="BodyText"/>
        <w:spacing w:line="338" w:lineRule="auto" w:before="24"/>
        <w:ind w:left="120" w:right="221"/>
      </w:pPr>
      <w:r>
        <w:rPr>
          <w:rFonts w:ascii="Times New Roman" w:eastAsia="Times New Roman"/>
          <w:color w:val="252525"/>
        </w:rPr>
        <w:t>OECD </w:t>
      </w:r>
      <w:r>
        <w:rPr>
          <w:color w:val="252525"/>
          <w:spacing w:val="-3"/>
        </w:rPr>
        <w:t>国家中尤为显著；</w:t>
      </w:r>
      <w:r>
        <w:rPr>
          <w:color w:val="252525"/>
          <w:spacing w:val="-18"/>
        </w:rPr>
        <w:t>（</w:t>
      </w:r>
      <w:r>
        <w:rPr>
          <w:rFonts w:ascii="Times New Roman" w:eastAsia="Times New Roman"/>
          <w:color w:val="252525"/>
          <w:spacing w:val="-18"/>
        </w:rPr>
        <w:t>3</w:t>
      </w:r>
      <w:r>
        <w:rPr>
          <w:color w:val="252525"/>
          <w:spacing w:val="-18"/>
        </w:rPr>
        <w:t>）</w:t>
      </w:r>
      <w:r>
        <w:rPr>
          <w:color w:val="252525"/>
          <w:spacing w:val="-11"/>
        </w:rPr>
        <w:t>在样本国家中，有 </w:t>
      </w:r>
      <w:r>
        <w:rPr>
          <w:rFonts w:ascii="Times New Roman" w:eastAsia="Times New Roman"/>
          <w:color w:val="252525"/>
        </w:rPr>
        <w:t>61 </w:t>
      </w:r>
      <w:r>
        <w:rPr>
          <w:color w:val="252525"/>
        </w:rPr>
        <w:t>个国家的增值税水平都有所提高。</w:t>
      </w:r>
    </w:p>
    <w:p>
      <w:pPr>
        <w:pStyle w:val="BodyText"/>
        <w:spacing w:line="348" w:lineRule="auto" w:before="55"/>
        <w:ind w:left="120" w:right="357" w:firstLine="479"/>
      </w:pPr>
      <w:r>
        <w:rPr>
          <w:color w:val="252525"/>
          <w:spacing w:val="-3"/>
        </w:rPr>
        <w:t>最后，相关性分析证实了文献中先前的研究结果，即人均 </w:t>
      </w:r>
      <w:r>
        <w:rPr>
          <w:rFonts w:ascii="Times New Roman" w:eastAsia="Times New Roman"/>
          <w:color w:val="252525"/>
        </w:rPr>
        <w:t>GDP </w:t>
      </w:r>
      <w:r>
        <w:rPr>
          <w:color w:val="252525"/>
        </w:rPr>
        <w:t>较高的国家</w:t>
      </w:r>
      <w:r>
        <w:rPr>
          <w:color w:val="252525"/>
          <w:spacing w:val="-6"/>
        </w:rPr>
        <w:t>往往具有较高的税收占 </w:t>
      </w:r>
      <w:r>
        <w:rPr>
          <w:rFonts w:ascii="Times New Roman" w:eastAsia="Times New Roman"/>
          <w:color w:val="252525"/>
        </w:rPr>
        <w:t>GDP </w:t>
      </w:r>
      <w:r>
        <w:rPr>
          <w:color w:val="252525"/>
        </w:rPr>
        <w:t>比率，初步分析显示税收水平与所在国的税收制度</w:t>
      </w:r>
      <w:r>
        <w:rPr>
          <w:color w:val="252525"/>
          <w:spacing w:val="-9"/>
        </w:rPr>
        <w:t>结构之间存在相关性。具体而言，个人所得税和社会保障缴款与总税收水平呈正</w:t>
      </w:r>
      <w:r>
        <w:rPr>
          <w:color w:val="252525"/>
          <w:spacing w:val="-11"/>
        </w:rPr>
        <w:t>相关，而增值税和企业所得税与总税收水平呈负相关。因此，了解税收结构的驱动因素及其与收入水平和总税收的关系将是使用全球收入统计数据库进行更深入分析的有效途径。</w:t>
      </w:r>
    </w:p>
    <w:p>
      <w:pPr>
        <w:pStyle w:val="BodyText"/>
        <w:spacing w:before="6"/>
        <w:rPr>
          <w:sz w:val="30"/>
        </w:rPr>
      </w:pPr>
    </w:p>
    <w:p>
      <w:pPr>
        <w:pStyle w:val="Heading3"/>
        <w:numPr>
          <w:ilvl w:val="0"/>
          <w:numId w:val="4"/>
        </w:numPr>
        <w:tabs>
          <w:tab w:pos="361" w:val="left" w:leader="none"/>
        </w:tabs>
        <w:spacing w:line="240" w:lineRule="auto" w:before="1" w:after="0"/>
        <w:ind w:left="360" w:right="0" w:hanging="240"/>
        <w:jc w:val="both"/>
        <w:rPr>
          <w:sz w:val="12"/>
        </w:rPr>
      </w:pPr>
      <w:bookmarkStart w:name="_bookmark7" w:id="15"/>
      <w:bookmarkEnd w:id="15"/>
      <w:r>
        <w:rPr>
          <w:b w:val="0"/>
        </w:rPr>
      </w:r>
      <w:bookmarkStart w:name="_bookmark7" w:id="16"/>
      <w:bookmarkEnd w:id="16"/>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6"/>
        </w:rPr>
        <w:t> </w:t>
      </w:r>
      <w:r>
        <w:rPr/>
        <w:t>发布税务政策研究《</w:t>
      </w:r>
      <w:r>
        <w:rPr>
          <w:rFonts w:ascii="Times New Roman" w:hAnsi="Times New Roman" w:eastAsia="Times New Roman"/>
        </w:rPr>
        <w:t>OECD</w:t>
      </w:r>
      <w:r>
        <w:rPr>
          <w:rFonts w:ascii="Times New Roman" w:hAnsi="Times New Roman" w:eastAsia="Times New Roman"/>
          <w:spacing w:val="6"/>
        </w:rPr>
        <w:t> </w:t>
      </w:r>
      <w:r>
        <w:rPr/>
        <w:t>中净财富税的作用和设计》</w:t>
      </w:r>
      <w:r>
        <w:rPr>
          <w:position w:val="8"/>
          <w:sz w:val="12"/>
        </w:rPr>
        <w:t>①</w:t>
      </w:r>
    </w:p>
    <w:p>
      <w:pPr>
        <w:pStyle w:val="BodyText"/>
        <w:spacing w:before="8"/>
        <w:rPr>
          <w:rFonts w:ascii="Microsoft YaHei"/>
          <w:b/>
          <w:sz w:val="22"/>
        </w:rPr>
      </w:pPr>
    </w:p>
    <w:p>
      <w:pPr>
        <w:pStyle w:val="BodyText"/>
        <w:spacing w:line="338" w:lineRule="auto" w:before="1"/>
        <w:ind w:left="221" w:right="265" w:firstLine="479"/>
      </w:pPr>
      <w:r>
        <w:rPr>
          <w:rFonts w:ascii="Times New Roman" w:eastAsia="Times New Roman"/>
          <w:color w:val="252525"/>
        </w:rPr>
        <w:t>2018 </w:t>
      </w:r>
      <w:r>
        <w:rPr>
          <w:color w:val="252525"/>
        </w:rPr>
        <w:t>年 </w:t>
      </w:r>
      <w:r>
        <w:rPr>
          <w:rFonts w:ascii="Times New Roman" w:eastAsia="Times New Roman"/>
          <w:color w:val="252525"/>
        </w:rPr>
        <w:t>4 </w:t>
      </w:r>
      <w:r>
        <w:rPr>
          <w:color w:val="252525"/>
        </w:rPr>
        <w:t>月 </w:t>
      </w:r>
      <w:r>
        <w:rPr>
          <w:rFonts w:ascii="Times New Roman" w:eastAsia="Times New Roman"/>
          <w:color w:val="252525"/>
        </w:rPr>
        <w:t>12 </w:t>
      </w:r>
      <w:r>
        <w:rPr>
          <w:color w:val="252525"/>
        </w:rPr>
        <w:t>日，</w:t>
      </w:r>
      <w:r>
        <w:rPr>
          <w:rFonts w:ascii="Times New Roman" w:eastAsia="Times New Roman"/>
          <w:color w:val="252525"/>
        </w:rPr>
        <w:t>OECD </w:t>
      </w:r>
      <w:r>
        <w:rPr>
          <w:color w:val="252525"/>
        </w:rPr>
        <w:t>发布税务政策研究《</w:t>
      </w:r>
      <w:r>
        <w:rPr>
          <w:rFonts w:ascii="Times New Roman" w:eastAsia="Times New Roman"/>
          <w:color w:val="252525"/>
        </w:rPr>
        <w:t>OECD </w:t>
      </w:r>
      <w:r>
        <w:rPr>
          <w:color w:val="252525"/>
        </w:rPr>
        <w:t>中净财富税的作用和设计》，本报告旨在审查和评估 </w:t>
      </w:r>
      <w:r>
        <w:rPr>
          <w:rFonts w:ascii="Times New Roman" w:eastAsia="Times New Roman"/>
          <w:color w:val="252525"/>
        </w:rPr>
        <w:t>OECD </w:t>
      </w:r>
      <w:r>
        <w:rPr>
          <w:color w:val="252525"/>
        </w:rPr>
        <w:t>国家净财富税的现状和历史情况，该财富税定义为个人净资产的经常性税收。</w:t>
      </w:r>
    </w:p>
    <w:p>
      <w:pPr>
        <w:pStyle w:val="Heading3"/>
        <w:numPr>
          <w:ilvl w:val="1"/>
          <w:numId w:val="4"/>
        </w:numPr>
        <w:tabs>
          <w:tab w:pos="582" w:val="left" w:leader="none"/>
        </w:tabs>
        <w:spacing w:line="396" w:lineRule="exact" w:before="0" w:after="0"/>
        <w:ind w:left="581" w:right="0" w:hanging="360"/>
        <w:jc w:val="left"/>
        <w:rPr>
          <w:rFonts w:ascii="Times New Roman" w:eastAsia="Times New Roman"/>
          <w:color w:val="252525"/>
        </w:rPr>
      </w:pPr>
      <w:r>
        <w:rPr>
          <w:color w:val="252525"/>
        </w:rPr>
        <w:t>主要内容</w:t>
      </w:r>
    </w:p>
    <w:p>
      <w:pPr>
        <w:pStyle w:val="BodyText"/>
        <w:spacing w:before="11"/>
        <w:rPr>
          <w:rFonts w:ascii="Microsoft YaHei"/>
          <w:b/>
          <w:sz w:val="14"/>
        </w:rPr>
      </w:pPr>
      <w:r>
        <w:rPr/>
        <w:drawing>
          <wp:anchor distT="0" distB="0" distL="0" distR="0" allowOverlap="1" layoutInCell="1" locked="0" behindDoc="0" simplePos="0" relativeHeight="1144">
            <wp:simplePos x="0" y="0"/>
            <wp:positionH relativeFrom="page">
              <wp:posOffset>1139494</wp:posOffset>
            </wp:positionH>
            <wp:positionV relativeFrom="paragraph">
              <wp:posOffset>185890</wp:posOffset>
            </wp:positionV>
            <wp:extent cx="1836734" cy="7619"/>
            <wp:effectExtent l="0" t="0" r="0" b="0"/>
            <wp:wrapTopAndBottom/>
            <wp:docPr id="19" name="image3.png" descr=""/>
            <wp:cNvGraphicFramePr>
              <a:graphicFrameLocks noChangeAspect="1"/>
            </wp:cNvGraphicFramePr>
            <a:graphic>
              <a:graphicData uri="http://schemas.openxmlformats.org/drawingml/2006/picture">
                <pic:pic>
                  <pic:nvPicPr>
                    <pic:cNvPr id="20"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line="207" w:lineRule="exact" w:before="76"/>
        <w:ind w:left="120" w:right="0" w:firstLine="0"/>
        <w:jc w:val="both"/>
        <w:rPr>
          <w:rFonts w:ascii="Times New Roman" w:hAnsi="Times New Roman"/>
          <w:sz w:val="18"/>
        </w:rPr>
      </w:pPr>
      <w:r>
        <w:rPr>
          <w:position w:val="6"/>
          <w:sz w:val="9"/>
        </w:rPr>
        <w:t>①  </w:t>
      </w:r>
      <w:r>
        <w:rPr>
          <w:rFonts w:ascii="Times New Roman" w:hAnsi="Times New Roman"/>
          <w:sz w:val="18"/>
        </w:rPr>
        <w:t>OECD,2018, The Role and Design of Net Wealth Taxes in the OECD,</w:t>
      </w:r>
    </w:p>
    <w:p>
      <w:pPr>
        <w:spacing w:line="207" w:lineRule="exact" w:before="0"/>
        <w:ind w:left="120" w:right="0" w:firstLine="0"/>
        <w:jc w:val="both"/>
        <w:rPr>
          <w:rFonts w:ascii="Times New Roman"/>
          <w:sz w:val="18"/>
        </w:rPr>
      </w:pPr>
      <w:r>
        <w:rPr>
          <w:rFonts w:ascii="Times New Roman"/>
          <w:sz w:val="18"/>
        </w:rPr>
        <w:t>https:/</w:t>
      </w:r>
      <w:hyperlink r:id="rId17">
        <w:r>
          <w:rPr>
            <w:rFonts w:ascii="Times New Roman"/>
            <w:sz w:val="18"/>
          </w:rPr>
          <w:t>/www</w:t>
        </w:r>
      </w:hyperlink>
      <w:r>
        <w:rPr>
          <w:rFonts w:ascii="Times New Roman"/>
          <w:sz w:val="18"/>
        </w:rPr>
        <w:t>.</w:t>
      </w:r>
      <w:hyperlink r:id="rId17">
        <w:r>
          <w:rPr>
            <w:rFonts w:ascii="Times New Roman"/>
            <w:sz w:val="18"/>
          </w:rPr>
          <w:t>oecd-ilibrary.org/taxation/the-role-and-design-of-net-wealth-taxes-in-the-oecd_9789264290303-en</w:t>
        </w:r>
      </w:hyperlink>
    </w:p>
    <w:p>
      <w:pPr>
        <w:spacing w:after="0" w:line="207" w:lineRule="exact"/>
        <w:jc w:val="both"/>
        <w:rPr>
          <w:rFonts w:ascii="Times New Roman"/>
          <w:sz w:val="18"/>
        </w:rPr>
        <w:sectPr>
          <w:footerReference w:type="default" r:id="rId16"/>
          <w:pgSz w:w="11900" w:h="16850"/>
          <w:pgMar w:footer="992" w:header="0" w:top="1380" w:bottom="1180" w:left="1680" w:right="1440"/>
          <w:pgNumType w:start="9"/>
        </w:sectPr>
      </w:pPr>
    </w:p>
    <w:p>
      <w:pPr>
        <w:pStyle w:val="BodyText"/>
        <w:spacing w:line="352" w:lineRule="auto" w:before="19"/>
        <w:ind w:left="221" w:right="155" w:firstLine="479"/>
        <w:jc w:val="both"/>
      </w:pPr>
      <w:r>
        <w:rPr>
          <w:color w:val="252525"/>
        </w:rPr>
        <w:t>首先，报告展示了随着时间的推移，</w:t>
      </w:r>
      <w:r>
        <w:rPr>
          <w:rFonts w:ascii="Times New Roman" w:eastAsia="Times New Roman"/>
          <w:color w:val="252525"/>
        </w:rPr>
        <w:t>OECD </w:t>
      </w:r>
      <w:r>
        <w:rPr>
          <w:color w:val="252525"/>
        </w:rPr>
        <w:t>国家使用财富税的背景以及收入和财富不平等的趋势。然后，它根据公平、效率原则，并从税收管理考虑， 来评估支持和反对使用净财富税来增加收入和减少不平等的情况。报告还讨论了个人资本所得税和税收对财富转移的影响，以了解这些税收如何与净财富税相互作用。最后，报告着眼于实际性的税收设计问题，表明设计净财富税的方式会对税收的有效性和公平性产生重大影响，并且提出了一些关于净财富税的实用性税收政策建议。</w:t>
      </w:r>
    </w:p>
    <w:p>
      <w:pPr>
        <w:pStyle w:val="BodyText"/>
        <w:spacing w:before="41"/>
        <w:ind w:left="701"/>
      </w:pPr>
      <w:r>
        <w:rPr>
          <w:color w:val="252525"/>
        </w:rPr>
        <w:t>本报告试图回答四个关键问题：</w:t>
      </w:r>
    </w:p>
    <w:p>
      <w:pPr>
        <w:pStyle w:val="BodyText"/>
        <w:spacing w:before="151"/>
        <w:ind w:left="701"/>
      </w:pPr>
      <w:r>
        <w:rPr>
          <w:color w:val="252525"/>
        </w:rPr>
        <w:t>·是否有理由来支持“通过税收制度解决财富不平等”这一观点？</w:t>
      </w:r>
    </w:p>
    <w:p>
      <w:pPr>
        <w:pStyle w:val="BodyText"/>
        <w:spacing w:before="154"/>
        <w:ind w:left="701"/>
      </w:pPr>
      <w:r>
        <w:rPr>
          <w:color w:val="252525"/>
        </w:rPr>
        <w:t>·如果有理由，那么净财富税是解决财富不平等的最合适工具吗？</w:t>
      </w:r>
    </w:p>
    <w:p>
      <w:pPr>
        <w:pStyle w:val="BodyText"/>
        <w:spacing w:before="151"/>
        <w:ind w:left="701"/>
      </w:pPr>
      <w:r>
        <w:rPr>
          <w:color w:val="252525"/>
        </w:rPr>
        <w:t>·目前已经或曾经征收净财富税的国家有哪些经验可以借鉴？</w:t>
      </w:r>
    </w:p>
    <w:p>
      <w:pPr>
        <w:pStyle w:val="BodyText"/>
        <w:spacing w:line="355" w:lineRule="auto" w:before="153"/>
        <w:ind w:left="221" w:right="156" w:firstLine="479"/>
        <w:jc w:val="both"/>
      </w:pPr>
      <w:r>
        <w:rPr>
          <w:color w:val="252525"/>
        </w:rPr>
        <w:t>·如果一个国家决定征收净财富税，那么如何设计以最大限度地提高效率和公平性并最大限度地降低税收管理和合规成本呢？</w:t>
      </w:r>
    </w:p>
    <w:p>
      <w:pPr>
        <w:pStyle w:val="Heading3"/>
        <w:numPr>
          <w:ilvl w:val="1"/>
          <w:numId w:val="4"/>
        </w:numPr>
        <w:tabs>
          <w:tab w:pos="582" w:val="left" w:leader="none"/>
        </w:tabs>
        <w:spacing w:line="382" w:lineRule="exact" w:before="0" w:after="0"/>
        <w:ind w:left="581" w:right="0" w:hanging="360"/>
        <w:jc w:val="left"/>
        <w:rPr>
          <w:rFonts w:ascii="Times New Roman" w:eastAsia="Times New Roman"/>
          <w:color w:val="252525"/>
        </w:rPr>
      </w:pPr>
      <w:r>
        <w:rPr>
          <w:color w:val="252525"/>
        </w:rPr>
        <w:t>主要结论</w:t>
      </w:r>
    </w:p>
    <w:p>
      <w:pPr>
        <w:pStyle w:val="BodyText"/>
        <w:spacing w:line="357" w:lineRule="auto" w:before="123"/>
        <w:ind w:left="221" w:right="155" w:firstLine="479"/>
        <w:jc w:val="both"/>
      </w:pPr>
      <w:r>
        <w:rPr>
          <w:color w:val="252525"/>
        </w:rPr>
        <w:t>针对问题一，本报告认为，通过税收制度解决财富不平等问题有充分的理由。财富不平等远远大于收入不平等，有证据表明，近几十年来财富不平等现象有所增加。此外，可能在没有税收的情况下增加财富值。高收入者能够储蓄更多，这意味着他们能够投资更多并最终积累更多财富。</w:t>
      </w:r>
    </w:p>
    <w:p>
      <w:pPr>
        <w:pStyle w:val="BodyText"/>
        <w:spacing w:line="357" w:lineRule="auto" w:before="36"/>
        <w:ind w:left="221" w:right="116" w:firstLine="479"/>
        <w:jc w:val="both"/>
      </w:pPr>
      <w:r>
        <w:rPr>
          <w:color w:val="252525"/>
        </w:rPr>
        <w:t>投资回报往往随着财富增加。富裕的纳税人倾向于拥有更多元化的资产， 会投资于风险较高的资产，从而产生更高的回报。最富有的纳税人产生更高平均回报的能力也可能来自他们更高的金融教育水平以及他们能够接触到金融专</w:t>
      </w:r>
      <w:r>
        <w:rPr>
          <w:color w:val="252525"/>
          <w:spacing w:val="-16"/>
        </w:rPr>
        <w:t>业知识，能够获得更有利可图的投资机会。富裕的纳税人也更有可能获得贷款， 这反过来又可以让他们投入更多资金并积累更多财富。最后，有人认为财富可能带来更多权力，最终可能会产生更多财富。</w:t>
      </w:r>
    </w:p>
    <w:p>
      <w:pPr>
        <w:pStyle w:val="BodyText"/>
        <w:spacing w:line="357" w:lineRule="auto" w:before="36"/>
        <w:ind w:left="221" w:right="155" w:firstLine="479"/>
        <w:jc w:val="both"/>
      </w:pPr>
      <w:r>
        <w:rPr>
          <w:color w:val="252525"/>
        </w:rPr>
        <w:t>税收制度可以通过多种途径影响财富不平等。财富不平等的来源是多种多样的。最重要的渠道包括收入不平等，遗产和资产增值。这意味着广泛的税收将影响财富不平等。净财富税，财富转移税，劳动和资本所得税以及资本利得税可以对财富分配产生影响。因此，问题在于净财富税是否是解决财富不平等问题的最合适的税收政策选择。</w:t>
      </w:r>
    </w:p>
    <w:p>
      <w:pPr>
        <w:spacing w:after="0" w:line="357" w:lineRule="auto"/>
        <w:jc w:val="both"/>
        <w:sectPr>
          <w:pgSz w:w="11900" w:h="16850"/>
          <w:pgMar w:header="0" w:footer="992" w:top="1380" w:bottom="1180" w:left="1680" w:right="1680"/>
        </w:sectPr>
      </w:pPr>
    </w:p>
    <w:p>
      <w:pPr>
        <w:pStyle w:val="BodyText"/>
        <w:spacing w:line="357" w:lineRule="auto"/>
        <w:ind w:left="221" w:right="154" w:firstLine="479"/>
        <w:jc w:val="both"/>
      </w:pPr>
      <w:r>
        <w:rPr>
          <w:color w:val="252525"/>
        </w:rPr>
        <w:t>针对问题二，本报告认为最合适的税收政策是公平和效率权衡的政策。虽然降低财富集中度至关重要，但它不足以减少财富不平等。支持财富中等或低水平的家庭进行财富积累对缩小贫富差距也至关重要，这意味着对资本征税设计或资本收入不应该阻止财富分配中间或底部的家庭储蓄。这也强调了使用税收以外的政策工具来解决财富不平等的必要性。在一些国家，除其他因素外， 还解释了财富不平等问题。由于储蓄率和投资回归的差异，储蓄率较低，财富分配底部的投资回归率下降，导致较贫困人口的财富份额下降。因此，支持低收入人群学习金融知识以及关于投资机会的回报，这些投资机会可以在解决财富不平等方面发挥重要作用。</w:t>
      </w:r>
    </w:p>
    <w:p>
      <w:pPr>
        <w:pStyle w:val="BodyText"/>
        <w:spacing w:line="355" w:lineRule="auto" w:before="37"/>
        <w:ind w:left="221" w:right="116" w:firstLine="479"/>
        <w:jc w:val="both"/>
      </w:pPr>
      <w:r>
        <w:rPr>
          <w:color w:val="252525"/>
        </w:rPr>
        <w:t>总体而言，基础广泛的资本所得税往往是一种更有效，行政成本更低的资</w:t>
      </w:r>
      <w:r>
        <w:rPr>
          <w:color w:val="252525"/>
          <w:spacing w:val="-16"/>
        </w:rPr>
        <w:t>本征税方式。为了加强累进性，可以重新审视各国对个人资本收入征税的方式。</w:t>
      </w:r>
      <w:r>
        <w:rPr>
          <w:color w:val="252525"/>
          <w:spacing w:val="-10"/>
        </w:rPr>
        <w:t>特别是，累进税率可以适用于个人资本收入。正如之前的 </w:t>
      </w:r>
      <w:r>
        <w:rPr>
          <w:rFonts w:ascii="Times New Roman" w:hAnsi="Times New Roman" w:eastAsia="Times New Roman"/>
          <w:color w:val="252525"/>
        </w:rPr>
        <w:t>OECD </w:t>
      </w:r>
      <w:r>
        <w:rPr>
          <w:color w:val="252525"/>
        </w:rPr>
        <w:t>工作所论述的那样，各国可以考虑引入“双重累进所得税”制度，该制度将按照累进税率在单独的税率表中对资本收入征税。税率表可以对资本总收入低于最低门槛者免税或以低税率征税。这也可以鼓励收入和财富分配底部的纳税人储蓄更多，这最终可能有助于减少富裕人口。最后，如上所述，可以考虑对资本收益征税。单靠资本所得税很可能不足以解决财富不平等问题，并表明需要通过财富税来补充资本所得税。但是，需要进一步的工作来确定如何设计遗产税，使其更加高效和公平。</w:t>
      </w:r>
    </w:p>
    <w:p>
      <w:pPr>
        <w:pStyle w:val="BodyText"/>
        <w:spacing w:line="357" w:lineRule="auto" w:before="36"/>
        <w:ind w:left="221" w:right="155" w:firstLine="479"/>
        <w:jc w:val="both"/>
      </w:pPr>
      <w:r>
        <w:rPr>
          <w:color w:val="252525"/>
        </w:rPr>
        <w:t>针对问题三，本报告指出在回顾各国对净财富税的实际经验时，该研究揭示了税收设计的显着差异，但也确定了各国的一些共同特征和趋势。免税门槛水平的变化是显着的，一些国家只对非常富裕的人征税，而其他国家则对更广泛的纳税人征税。税率的实践也有所不同。另一方面，各国的经验已经揭示了一些共同特征。在各国，由于各种经济、社会和实践方面的动机，许多豁免和救济、净财富税基础一般都很窄。避税和逃税行为在所有国家也很普遍。一般来说，各国的经验证实了经常性地对净财富征税所面临的困难。在仍有净财富税的国家，也有提高免税门槛和降低税率的趋势。前者主要受到驱动，希望避免给中上层中产阶级带来负担，而后者则反映了财政税成为了国家或地方政府之间的税收竞争。</w:t>
      </w:r>
    </w:p>
    <w:p>
      <w:pPr>
        <w:spacing w:after="0" w:line="357" w:lineRule="auto"/>
        <w:jc w:val="both"/>
        <w:sectPr>
          <w:pgSz w:w="11900" w:h="16850"/>
          <w:pgMar w:header="0" w:footer="992" w:top="1400" w:bottom="1180" w:left="1680" w:right="1680"/>
        </w:sectPr>
      </w:pPr>
    </w:p>
    <w:p>
      <w:pPr>
        <w:pStyle w:val="BodyText"/>
        <w:spacing w:line="357" w:lineRule="auto"/>
        <w:ind w:left="221" w:right="155" w:firstLine="479"/>
        <w:jc w:val="both"/>
      </w:pPr>
      <w:r>
        <w:rPr>
          <w:color w:val="252525"/>
        </w:rPr>
        <w:t>针对问题四，本报告认为净财富税可以设计为渐进的。尽管对假定回报的征税产生了不公平现象，但可以按累进税率或随着家庭财富增加的不同假定回报征收财富税。高财富税免税门槛也可以创造大量的税收累进性，即使按比例税率。</w:t>
      </w:r>
    </w:p>
    <w:p>
      <w:pPr>
        <w:pStyle w:val="BodyText"/>
        <w:spacing w:line="357" w:lineRule="auto" w:before="34"/>
        <w:ind w:left="221" w:right="117" w:firstLine="479"/>
        <w:jc w:val="both"/>
      </w:pPr>
      <w:r>
        <w:rPr>
          <w:color w:val="252525"/>
        </w:rPr>
        <w:t>净财富税的设计方式可以减少扭曲和不公平。关于免税门槛和税率，建议取决于净财富税是否来自其他资本税，特别是在资本收入税之上。在财政税基础上，对广泛的资本收入征税，免税门槛应该很高，以确保税收只对非常富裕的人征税，税率应该低，并考虑到资本收入的税率，以避免对资本征收过高的</w:t>
      </w:r>
      <w:r>
        <w:rPr>
          <w:color w:val="252525"/>
          <w:spacing w:val="-8"/>
        </w:rPr>
        <w:t>税收负担。 净财富税不是基于广泛的资本所得税，较低的免税门槛和较高的税率可能是合理的。税率可能是渐进的，特别是在净财富税不是来自资本所得税或财富转移税，以提高整体税收制度的累进性。</w:t>
      </w:r>
    </w:p>
    <w:p>
      <w:pPr>
        <w:pStyle w:val="BodyText"/>
        <w:spacing w:line="357" w:lineRule="auto" w:before="35"/>
        <w:ind w:left="221" w:right="155" w:firstLine="479"/>
        <w:jc w:val="both"/>
      </w:pPr>
      <w:r>
        <w:rPr>
          <w:color w:val="252525"/>
        </w:rPr>
        <w:t>其他净财富税设计建议包括：限制免税和减免；豁免商业资产，明确标准限制资格；达到一定值时免除个人和家庭的影响；使税基与资产市场价值保持一致；保持难以估值的资产价值或纳税人的净财富价值几年内不改变，以避免每年的重新评估；只有在获得应税资产时才能扣除债务，或者，如果免税门槛很高，则考虑进一步限制债务减免；确保信托基金资产处理的透明度；继续努力提高税收透明度，并交换居民在其他司法管辖区的资产信息；开发第三方报告；制定防止国际双重财富征税的规则；定期评估财富税的影响。</w:t>
      </w:r>
    </w:p>
    <w:p>
      <w:pPr>
        <w:pStyle w:val="Heading3"/>
        <w:numPr>
          <w:ilvl w:val="1"/>
          <w:numId w:val="4"/>
        </w:numPr>
        <w:tabs>
          <w:tab w:pos="582" w:val="left" w:leader="none"/>
        </w:tabs>
        <w:spacing w:line="379" w:lineRule="exact" w:before="0" w:after="0"/>
        <w:ind w:left="581" w:right="0" w:hanging="360"/>
        <w:jc w:val="left"/>
        <w:rPr>
          <w:rFonts w:ascii="Times New Roman" w:eastAsia="Times New Roman"/>
          <w:color w:val="252525"/>
        </w:rPr>
      </w:pPr>
      <w:r>
        <w:rPr>
          <w:color w:val="252525"/>
        </w:rPr>
        <w:t>意义</w:t>
      </w:r>
    </w:p>
    <w:p>
      <w:pPr>
        <w:pStyle w:val="BodyText"/>
        <w:spacing w:line="357" w:lineRule="auto" w:before="123"/>
        <w:ind w:left="221" w:right="155" w:firstLine="479"/>
        <w:jc w:val="both"/>
      </w:pPr>
      <w:r>
        <w:rPr>
          <w:color w:val="252525"/>
        </w:rPr>
        <w:t>该报告还为今后的四项工作奠定了基础：一是遗产税的设计，二是资本利得税的设计，三是经常性税收对不动产的分配影响，四是将财富测试用于其他税收和福利目的。进一步研究财富不平等的驱动因素，特别关注资本所得税可以在多大程度上促成更平等的财富分配。</w:t>
      </w:r>
    </w:p>
    <w:p>
      <w:pPr>
        <w:pStyle w:val="BodyText"/>
        <w:spacing w:before="7"/>
        <w:rPr>
          <w:sz w:val="29"/>
        </w:rPr>
      </w:pPr>
    </w:p>
    <w:p>
      <w:pPr>
        <w:pStyle w:val="Heading3"/>
        <w:numPr>
          <w:ilvl w:val="0"/>
          <w:numId w:val="4"/>
        </w:numPr>
        <w:tabs>
          <w:tab w:pos="380" w:val="left" w:leader="none"/>
        </w:tabs>
        <w:spacing w:line="240" w:lineRule="auto" w:before="0" w:after="0"/>
        <w:ind w:left="379" w:right="0" w:hanging="259"/>
        <w:jc w:val="left"/>
        <w:rPr>
          <w:sz w:val="12"/>
        </w:rPr>
      </w:pPr>
      <w:bookmarkStart w:name="_bookmark8" w:id="17"/>
      <w:bookmarkEnd w:id="17"/>
      <w:r>
        <w:rPr>
          <w:b w:val="0"/>
        </w:rPr>
      </w:r>
      <w:bookmarkStart w:name="_bookmark8" w:id="18"/>
      <w:bookmarkEnd w:id="18"/>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11"/>
        </w:rPr>
        <w:t> </w:t>
      </w:r>
      <w:r>
        <w:rPr/>
        <w:t>发布税务政策研究《家庭储蓄税》</w:t>
      </w:r>
      <w:r>
        <w:rPr>
          <w:position w:val="8"/>
          <w:sz w:val="12"/>
        </w:rPr>
        <w:t>①</w:t>
      </w:r>
    </w:p>
    <w:p>
      <w:pPr>
        <w:pStyle w:val="BodyText"/>
        <w:spacing w:before="8"/>
        <w:rPr>
          <w:rFonts w:ascii="Microsoft YaHei"/>
          <w:b/>
          <w:sz w:val="31"/>
        </w:rPr>
      </w:pPr>
    </w:p>
    <w:p>
      <w:pPr>
        <w:pStyle w:val="BodyText"/>
        <w:spacing w:line="338" w:lineRule="auto"/>
        <w:ind w:left="120" w:firstLine="479"/>
      </w:pPr>
      <w:r>
        <w:rPr>
          <w:spacing w:val="-7"/>
        </w:rPr>
        <w:t>本报告详细介绍了 </w:t>
      </w:r>
      <w:r>
        <w:rPr>
          <w:rFonts w:ascii="Times New Roman" w:eastAsia="Times New Roman"/>
        </w:rPr>
        <w:t>40 </w:t>
      </w:r>
      <w:r>
        <w:rPr>
          <w:spacing w:val="-31"/>
        </w:rPr>
        <w:t>个 </w:t>
      </w:r>
      <w:r>
        <w:rPr>
          <w:rFonts w:ascii="Times New Roman" w:eastAsia="Times New Roman"/>
        </w:rPr>
        <w:t>OECD </w:t>
      </w:r>
      <w:r>
        <w:rPr>
          <w:spacing w:val="-3"/>
        </w:rPr>
        <w:t>和伙伴国家家庭储蓄的征税情况。报告论述了各国对家庭储蓄征税的不同办法，并计算了各种储蓄工具</w:t>
      </w:r>
      <w:r>
        <w:rPr>
          <w:rFonts w:ascii="Times New Roman" w:eastAsia="Times New Roman"/>
          <w:spacing w:val="-3"/>
        </w:rPr>
        <w:t>(</w:t>
      </w:r>
      <w:r>
        <w:rPr>
          <w:spacing w:val="-3"/>
        </w:rPr>
        <w:t>包括银行账户、债</w:t>
      </w:r>
    </w:p>
    <w:p>
      <w:pPr>
        <w:pStyle w:val="BodyText"/>
        <w:rPr>
          <w:sz w:val="20"/>
        </w:rPr>
      </w:pPr>
    </w:p>
    <w:p>
      <w:pPr>
        <w:pStyle w:val="BodyText"/>
        <w:spacing w:before="6"/>
        <w:rPr>
          <w:sz w:val="15"/>
        </w:rPr>
      </w:pPr>
      <w:r>
        <w:rPr/>
        <w:drawing>
          <wp:anchor distT="0" distB="0" distL="0" distR="0" allowOverlap="1" layoutInCell="1" locked="0" behindDoc="0" simplePos="0" relativeHeight="1168">
            <wp:simplePos x="0" y="0"/>
            <wp:positionH relativeFrom="page">
              <wp:posOffset>1139494</wp:posOffset>
            </wp:positionH>
            <wp:positionV relativeFrom="paragraph">
              <wp:posOffset>153560</wp:posOffset>
            </wp:positionV>
            <wp:extent cx="1836734" cy="7619"/>
            <wp:effectExtent l="0" t="0" r="0" b="0"/>
            <wp:wrapTopAndBottom/>
            <wp:docPr id="21" name="image3.png" descr=""/>
            <wp:cNvGraphicFramePr>
              <a:graphicFrameLocks noChangeAspect="1"/>
            </wp:cNvGraphicFramePr>
            <a:graphic>
              <a:graphicData uri="http://schemas.openxmlformats.org/drawingml/2006/picture">
                <pic:pic>
                  <pic:nvPicPr>
                    <pic:cNvPr id="22"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before="76"/>
        <w:ind w:left="120" w:right="1905" w:firstLine="0"/>
        <w:jc w:val="left"/>
        <w:rPr>
          <w:rFonts w:ascii="Times New Roman" w:hAnsi="Times New Roman"/>
          <w:sz w:val="18"/>
        </w:rPr>
      </w:pPr>
      <w:r>
        <w:rPr>
          <w:position w:val="6"/>
          <w:sz w:val="9"/>
        </w:rPr>
        <w:t>① </w:t>
      </w:r>
      <w:r>
        <w:rPr>
          <w:rFonts w:ascii="Times New Roman" w:hAnsi="Times New Roman"/>
          <w:sz w:val="18"/>
        </w:rPr>
        <w:t>OECD/(2018), Taxation of Household Savings, OECD Publishing, Paris. https:/</w:t>
      </w:r>
      <w:hyperlink r:id="rId18">
        <w:r>
          <w:rPr>
            <w:rFonts w:ascii="Times New Roman" w:hAnsi="Times New Roman"/>
            <w:sz w:val="18"/>
          </w:rPr>
          <w:t>/www</w:t>
        </w:r>
      </w:hyperlink>
      <w:r>
        <w:rPr>
          <w:rFonts w:ascii="Times New Roman" w:hAnsi="Times New Roman"/>
          <w:sz w:val="18"/>
        </w:rPr>
        <w:t>.</w:t>
      </w:r>
      <w:hyperlink r:id="rId18">
        <w:r>
          <w:rPr>
            <w:rFonts w:ascii="Times New Roman" w:hAnsi="Times New Roman"/>
            <w:sz w:val="18"/>
          </w:rPr>
          <w:t>oecd-ilibrary.org/taxation/taxation-of-household-savings_9789264289536-en</w:t>
        </w:r>
      </w:hyperlink>
    </w:p>
    <w:p>
      <w:pPr>
        <w:spacing w:after="0"/>
        <w:jc w:val="left"/>
        <w:rPr>
          <w:rFonts w:ascii="Times New Roman" w:hAnsi="Times New Roman"/>
          <w:sz w:val="18"/>
        </w:rPr>
        <w:sectPr>
          <w:pgSz w:w="11900" w:h="16850"/>
          <w:pgMar w:header="0" w:footer="992" w:top="1400" w:bottom="1180" w:left="1680" w:right="1680"/>
        </w:sectPr>
      </w:pPr>
    </w:p>
    <w:p>
      <w:pPr>
        <w:pStyle w:val="BodyText"/>
        <w:spacing w:line="352" w:lineRule="auto" w:before="19"/>
        <w:ind w:left="120" w:right="217"/>
        <w:jc w:val="both"/>
      </w:pPr>
      <w:r>
        <w:rPr/>
        <w:t>券、股票、私人养老金和住房</w:t>
      </w:r>
      <w:r>
        <w:rPr>
          <w:rFonts w:ascii="Times New Roman" w:eastAsia="Times New Roman"/>
        </w:rPr>
        <w:t>)</w:t>
      </w:r>
      <w:r>
        <w:rPr/>
        <w:t>的边际有效税率，以评估这些征税方式对储蓄行</w:t>
      </w:r>
      <w:r>
        <w:rPr>
          <w:spacing w:val="-10"/>
        </w:rPr>
        <w:t>为的影响。同时，报告也阐述了收入和财富分配中的资产持有情况，来评估储蓄</w:t>
      </w:r>
      <w:r>
        <w:rPr>
          <w:spacing w:val="-14"/>
        </w:rPr>
        <w:t>税对分配的影响，并讨论了税务机关之间为信息交换方面最近做出的改变。报告</w:t>
      </w:r>
      <w:r>
        <w:rPr>
          <w:spacing w:val="-18"/>
        </w:rPr>
        <w:t>还从这一分析中得出一系列对储蓄税政策的影响，作为税收包容性增长议程的一</w:t>
      </w:r>
      <w:r>
        <w:rPr>
          <w:spacing w:val="-1"/>
        </w:rPr>
        <w:t>部分。</w:t>
      </w:r>
    </w:p>
    <w:p>
      <w:pPr>
        <w:pStyle w:val="Heading3"/>
        <w:numPr>
          <w:ilvl w:val="1"/>
          <w:numId w:val="4"/>
        </w:numPr>
        <w:tabs>
          <w:tab w:pos="541" w:val="left" w:leader="none"/>
        </w:tabs>
        <w:spacing w:line="384" w:lineRule="exact" w:before="0" w:after="0"/>
        <w:ind w:left="540" w:right="0" w:hanging="420"/>
        <w:jc w:val="both"/>
        <w:rPr>
          <w:rFonts w:ascii="Times New Roman" w:eastAsia="Times New Roman"/>
        </w:rPr>
      </w:pPr>
      <w:r>
        <w:rPr/>
        <w:t>发布背景</w:t>
      </w:r>
    </w:p>
    <w:p>
      <w:pPr>
        <w:pStyle w:val="BodyText"/>
        <w:spacing w:line="350" w:lineRule="auto" w:before="122"/>
        <w:ind w:left="120" w:right="125" w:firstLine="479"/>
      </w:pPr>
      <w:r>
        <w:rPr>
          <w:rFonts w:ascii="Times New Roman" w:eastAsia="Times New Roman"/>
        </w:rPr>
        <w:t>1994 </w:t>
      </w:r>
      <w:r>
        <w:rPr/>
        <w:t>年，在对成员国的资本收入和财富征税进行广泛改革之后，</w:t>
      </w:r>
      <w:r>
        <w:rPr>
          <w:rFonts w:ascii="Times New Roman" w:eastAsia="Times New Roman"/>
        </w:rPr>
        <w:t>OECD </w:t>
      </w:r>
      <w:r>
        <w:rPr/>
        <w:t>发</w:t>
      </w:r>
      <w:r>
        <w:rPr>
          <w:spacing w:val="-5"/>
        </w:rPr>
        <w:t>表了一份具有里程碑意义的关于税收和家庭储蓄的报告。近年一系列事态的发展</w:t>
      </w:r>
      <w:r>
        <w:rPr>
          <w:spacing w:val="-11"/>
        </w:rPr>
        <w:t>需要我们及时地重新审视这一问题，特别是许多国家的收入和财富不平等现象有</w:t>
      </w:r>
      <w:r>
        <w:rPr>
          <w:spacing w:val="-18"/>
        </w:rPr>
        <w:t>所加剧。由于 </w:t>
      </w:r>
      <w:r>
        <w:rPr>
          <w:rFonts w:ascii="Times New Roman" w:eastAsia="Times New Roman"/>
        </w:rPr>
        <w:t>2008 </w:t>
      </w:r>
      <w:r>
        <w:rPr/>
        <w:t>年的全球金融和经济危机，这一问题也受到特别关注，许多</w:t>
      </w:r>
      <w:r>
        <w:rPr>
          <w:spacing w:val="-6"/>
        </w:rPr>
        <w:t>国家强烈呼吁对资本收入和财富征税。此外，国际税收环境正在发生突破性的变</w:t>
      </w:r>
      <w:r>
        <w:rPr>
          <w:spacing w:val="-11"/>
        </w:rPr>
        <w:t>化，以防止资本收入和财富被隐藏在海外。与此同时，人们仍然对退休储蓄水平偏低感到关切，特别是考虑到人口持续老龄化现象。</w:t>
      </w:r>
    </w:p>
    <w:p>
      <w:pPr>
        <w:pStyle w:val="BodyText"/>
        <w:spacing w:line="350" w:lineRule="auto" w:before="42"/>
        <w:ind w:left="120" w:right="100" w:firstLine="479"/>
      </w:pPr>
      <w:r>
        <w:rPr>
          <w:rFonts w:ascii="Times New Roman" w:eastAsia="Times New Roman"/>
        </w:rPr>
        <w:t>2008 </w:t>
      </w:r>
      <w:r>
        <w:rPr/>
        <w:t>年金融和经济危机之后，各国热衷于对家庭储蓄征税作为加强本国税收制度效率和公平的一种手段。民间社会强烈呼吁增加资本税，以解决收入和财富不平等问题。与此同时，最近在税务机关之间自动交换金融账户信息的举措， 可能会使纳税人更难通过将收入和财富隐藏在海外来逃税。</w:t>
      </w:r>
    </w:p>
    <w:p>
      <w:pPr>
        <w:pStyle w:val="Heading3"/>
        <w:numPr>
          <w:ilvl w:val="1"/>
          <w:numId w:val="4"/>
        </w:numPr>
        <w:tabs>
          <w:tab w:pos="541" w:val="left" w:leader="none"/>
        </w:tabs>
        <w:spacing w:line="384" w:lineRule="exact" w:before="0" w:after="0"/>
        <w:ind w:left="540" w:right="0" w:hanging="420"/>
        <w:jc w:val="both"/>
        <w:rPr>
          <w:rFonts w:ascii="Times New Roman" w:eastAsia="Times New Roman"/>
        </w:rPr>
      </w:pPr>
      <w:r>
        <w:rPr/>
        <w:t>报告的主要内容</w:t>
      </w:r>
    </w:p>
    <w:p>
      <w:pPr>
        <w:pStyle w:val="BodyText"/>
        <w:spacing w:line="357" w:lineRule="auto" w:before="125"/>
        <w:ind w:left="120" w:right="217" w:firstLine="479"/>
        <w:jc w:val="both"/>
      </w:pPr>
      <w:r>
        <w:rPr>
          <w:spacing w:val="-7"/>
        </w:rPr>
        <w:t>本报告共分为六个章节：第一章主要是全报告的概括介绍，第二章为各国如</w:t>
      </w:r>
      <w:r>
        <w:rPr>
          <w:spacing w:val="-12"/>
        </w:rPr>
        <w:t>何对储蓄征税，第三章为家庭储蓄边际有效税率，第四章为资产的持有分布，第五章为国际方面的家庭储蓄税收，最后一章为结论与政策选择。</w:t>
      </w:r>
    </w:p>
    <w:p>
      <w:pPr>
        <w:pStyle w:val="BodyText"/>
        <w:spacing w:line="345" w:lineRule="auto" w:before="34"/>
        <w:ind w:left="120" w:right="125" w:firstLine="479"/>
      </w:pPr>
      <w:r>
        <w:rPr>
          <w:spacing w:val="-6"/>
        </w:rPr>
        <w:t>第一章为后面详细分析 </w:t>
      </w:r>
      <w:r>
        <w:rPr>
          <w:rFonts w:ascii="Times New Roman" w:eastAsia="Times New Roman"/>
        </w:rPr>
        <w:t>OECD </w:t>
      </w:r>
      <w:r>
        <w:rPr/>
        <w:t>国家和伙伴经济体的储蓄税收奠定了基础。</w:t>
      </w:r>
      <w:r>
        <w:rPr>
          <w:spacing w:val="-6"/>
        </w:rPr>
        <w:t>本章描述了不平等和人口老龄化的最新趋势，然后总结了有关税收对家庭储蓄影响的经济文献。最后，概述了报告其余部分的结构。</w:t>
      </w:r>
    </w:p>
    <w:p>
      <w:pPr>
        <w:pStyle w:val="BodyText"/>
        <w:spacing w:line="357" w:lineRule="auto" w:before="48"/>
        <w:ind w:left="120" w:right="217" w:firstLine="479"/>
        <w:jc w:val="both"/>
      </w:pPr>
      <w:r>
        <w:rPr>
          <w:spacing w:val="-6"/>
        </w:rPr>
        <w:t>第二章研究了各国是如何对家庭储蓄征税的，确定了家庭储蓄征税方法的基</w:t>
      </w:r>
      <w:r>
        <w:rPr>
          <w:spacing w:val="-12"/>
        </w:rPr>
        <w:t>本趋势，并概述了各国的主要税收设计特点。本章也论述了各国和各国内部以及不同资产类型对家庭储蓄征税的方法有很大差异。</w:t>
      </w:r>
    </w:p>
    <w:p>
      <w:pPr>
        <w:pStyle w:val="BodyText"/>
        <w:spacing w:before="33"/>
        <w:ind w:left="600"/>
      </w:pPr>
      <w:r>
        <w:rPr/>
        <w:t>第三章对 </w:t>
      </w:r>
      <w:r>
        <w:rPr>
          <w:rFonts w:ascii="Times New Roman" w:eastAsia="Times New Roman"/>
        </w:rPr>
        <w:t>40 </w:t>
      </w:r>
      <w:r>
        <w:rPr/>
        <w:t>个 </w:t>
      </w:r>
      <w:r>
        <w:rPr>
          <w:rFonts w:ascii="Times New Roman" w:eastAsia="Times New Roman"/>
        </w:rPr>
        <w:t>OECD </w:t>
      </w:r>
      <w:r>
        <w:rPr/>
        <w:t>和主要伙伴国家的不同储蓄方式的边际有效税率</w:t>
      </w:r>
    </w:p>
    <w:p>
      <w:pPr>
        <w:pStyle w:val="BodyText"/>
        <w:spacing w:line="336" w:lineRule="auto" w:before="135"/>
        <w:ind w:left="120" w:right="213"/>
        <w:jc w:val="both"/>
      </w:pPr>
      <w:r>
        <w:rPr/>
        <w:t>（</w:t>
      </w:r>
      <w:r>
        <w:rPr>
          <w:rFonts w:ascii="Times New Roman" w:eastAsia="Times New Roman"/>
        </w:rPr>
        <w:t>METRs</w:t>
      </w:r>
      <w:r>
        <w:rPr>
          <w:rFonts w:ascii="Times New Roman" w:eastAsia="Times New Roman"/>
          <w:spacing w:val="56"/>
        </w:rPr>
        <w:t> </w:t>
      </w:r>
      <w:r>
        <w:rPr/>
        <w:t>，</w:t>
      </w:r>
      <w:r>
        <w:rPr>
          <w:rFonts w:ascii="Times New Roman" w:eastAsia="Times New Roman"/>
        </w:rPr>
        <w:t>Marginal Effective Tax Rates</w:t>
      </w:r>
      <w:r>
        <w:rPr>
          <w:rFonts w:ascii="Times New Roman" w:eastAsia="Times New Roman"/>
          <w:spacing w:val="-1"/>
        </w:rPr>
        <w:t> )</w:t>
      </w:r>
      <w:r>
        <w:rPr/>
        <w:t>进行了估计，以评估税收制度对个人</w:t>
      </w:r>
      <w:r>
        <w:rPr>
          <w:spacing w:val="-5"/>
        </w:rPr>
        <w:t>以不同形式储蓄的激励影响。研究结果显示不同储蓄方式之间的 </w:t>
      </w:r>
      <w:r>
        <w:rPr>
          <w:rFonts w:ascii="Times New Roman" w:eastAsia="Times New Roman"/>
        </w:rPr>
        <w:t>METRs </w:t>
      </w:r>
      <w:r>
        <w:rPr/>
        <w:t>有显著</w:t>
      </w:r>
    </w:p>
    <w:p>
      <w:pPr>
        <w:spacing w:after="0" w:line="336" w:lineRule="auto"/>
        <w:jc w:val="both"/>
        <w:sectPr>
          <w:pgSz w:w="11900" w:h="16850"/>
          <w:pgMar w:header="0" w:footer="992" w:top="1380" w:bottom="1180" w:left="1680" w:right="1580"/>
        </w:sectPr>
      </w:pPr>
    </w:p>
    <w:p>
      <w:pPr>
        <w:pStyle w:val="BodyText"/>
        <w:spacing w:line="357" w:lineRule="auto"/>
        <w:ind w:left="120" w:right="236"/>
        <w:jc w:val="both"/>
      </w:pPr>
      <w:r>
        <w:rPr>
          <w:spacing w:val="-9"/>
        </w:rPr>
        <w:t>差异，税收制度创造了重大的激励效果，以改变人们对投资组合的分配，该投资</w:t>
      </w:r>
      <w:r>
        <w:rPr>
          <w:spacing w:val="-14"/>
        </w:rPr>
        <w:t>组合方式有别于在没有税收的情况下最优的配置。该部分还指出私人养老基金的</w:t>
      </w:r>
      <w:r>
        <w:rPr>
          <w:spacing w:val="-15"/>
        </w:rPr>
        <w:t>税收是最优惠的，业主占用的住宅物业也有很大的税收优惠。但其与业主占用的住宅物业不同，由于采用累进边际个人所得税税率、存在资本利得税和大量物业</w:t>
      </w:r>
      <w:r>
        <w:rPr>
          <w:spacing w:val="-11"/>
        </w:rPr>
        <w:t>税，租赁财产往往受到相对较高的税率限制。在许多国家，银行储蓄和公司债券的税率也相对较高。</w:t>
      </w:r>
    </w:p>
    <w:p>
      <w:pPr>
        <w:pStyle w:val="BodyText"/>
        <w:spacing w:line="343" w:lineRule="auto" w:before="34"/>
        <w:ind w:left="120" w:right="57" w:firstLine="479"/>
      </w:pPr>
      <w:r>
        <w:rPr>
          <w:spacing w:val="5"/>
        </w:rPr>
        <w:t>第四章分析了某些</w:t>
      </w:r>
      <w:r>
        <w:rPr>
          <w:rFonts w:ascii="Times New Roman" w:eastAsia="Times New Roman"/>
        </w:rPr>
        <w:t>OECD </w:t>
      </w:r>
      <w:r>
        <w:rPr/>
        <w:t>国家在收入和财富分配方面的持有资产分布模式。</w:t>
      </w:r>
      <w:r>
        <w:rPr>
          <w:spacing w:val="-3"/>
        </w:rPr>
        <w:t>该分析借鉴了来自欧洲系统家庭金融和消费调查的 </w:t>
      </w:r>
      <w:r>
        <w:rPr>
          <w:rFonts w:ascii="Times New Roman" w:eastAsia="Times New Roman"/>
        </w:rPr>
        <w:t>18 </w:t>
      </w:r>
      <w:r>
        <w:rPr/>
        <w:t>个国家的收入和资产持有</w:t>
      </w:r>
      <w:r>
        <w:rPr>
          <w:spacing w:val="-9"/>
        </w:rPr>
        <w:t>量的微观数据。据发现，资产持有模式因收入和财富分配而有很大差异，从而对家庭储蓄征税的分配效应产生了重大影响。</w:t>
      </w:r>
    </w:p>
    <w:p>
      <w:pPr>
        <w:pStyle w:val="BodyText"/>
        <w:spacing w:line="357" w:lineRule="auto" w:before="47"/>
        <w:ind w:left="120" w:right="236" w:firstLine="479"/>
        <w:jc w:val="both"/>
      </w:pPr>
      <w:r>
        <w:rPr>
          <w:spacing w:val="-5"/>
        </w:rPr>
        <w:t>第五章从国际角度探讨了家庭储蓄的税收问题，并考虑了税务机关之间的金</w:t>
      </w:r>
      <w:r>
        <w:rPr>
          <w:spacing w:val="-11"/>
        </w:rPr>
        <w:t>融账户信息交换对国际资本所得税的影响。本章详细讨论了最近金融账户信息交</w:t>
      </w:r>
      <w:r>
        <w:rPr>
          <w:spacing w:val="-12"/>
        </w:rPr>
        <w:t>流的情况，强调了信息网络交流覆盖面急剧扩大。自动交换信息可能会使纳税人</w:t>
      </w:r>
      <w:r>
        <w:rPr>
          <w:spacing w:val="-13"/>
        </w:rPr>
        <w:t>更难逃税，并可能减少对资本收入征税所涉及的扭曲。本章还强调了在确保在国际背景下对资本收入进行统一征税方面仍然存在的潜在挑战。</w:t>
      </w:r>
    </w:p>
    <w:p>
      <w:pPr>
        <w:pStyle w:val="BodyText"/>
        <w:spacing w:line="357" w:lineRule="auto" w:before="35"/>
        <w:ind w:left="120" w:right="237" w:firstLine="479"/>
        <w:jc w:val="both"/>
      </w:pPr>
      <w:r>
        <w:rPr>
          <w:spacing w:val="-5"/>
        </w:rPr>
        <w:t>最后一章提出了我国居民储蓄报告税收政策的结论，并探讨了可能的税收政</w:t>
      </w:r>
      <w:r>
        <w:rPr>
          <w:spacing w:val="-12"/>
        </w:rPr>
        <w:t>策选择。报告的结论是，虽然各国不一定需要对家庭储蓄征税，但仍有很大的空</w:t>
      </w:r>
      <w:r>
        <w:rPr>
          <w:spacing w:val="-17"/>
        </w:rPr>
        <w:t>间来改进各国对家庭储蓄征税的方式。最重要的是，各国有机会提高资产征税的</w:t>
      </w:r>
      <w:r>
        <w:rPr>
          <w:spacing w:val="-13"/>
        </w:rPr>
        <w:t>中立性，从而提高其税收制度的效率和公平性。许多国家也可能有机会提高对储</w:t>
      </w:r>
      <w:r>
        <w:rPr>
          <w:spacing w:val="-14"/>
        </w:rPr>
        <w:t>蓄征税的累进性。与此同时，仍有理由对私人养老金实行精心设计的税收优惠待遇，以鼓励退休储蓄。</w:t>
      </w:r>
    </w:p>
    <w:p>
      <w:pPr>
        <w:pStyle w:val="Heading3"/>
        <w:numPr>
          <w:ilvl w:val="1"/>
          <w:numId w:val="4"/>
        </w:numPr>
        <w:tabs>
          <w:tab w:pos="481" w:val="left" w:leader="none"/>
        </w:tabs>
        <w:spacing w:line="378" w:lineRule="exact" w:before="0" w:after="0"/>
        <w:ind w:left="480" w:right="0" w:hanging="360"/>
        <w:jc w:val="both"/>
        <w:rPr>
          <w:rFonts w:ascii="Times New Roman" w:eastAsia="Times New Roman"/>
        </w:rPr>
      </w:pPr>
      <w:r>
        <w:rPr/>
        <w:t>发布报告的作用</w:t>
      </w:r>
    </w:p>
    <w:p>
      <w:pPr>
        <w:pStyle w:val="BodyText"/>
        <w:spacing w:line="350" w:lineRule="auto" w:before="125"/>
        <w:ind w:left="120" w:right="236" w:firstLine="479"/>
      </w:pPr>
      <w:r>
        <w:rPr>
          <w:spacing w:val="-4"/>
        </w:rPr>
        <w:t>本报告向各国税收决策者提供了必要的经验证据和实际政策建议，以确保对</w:t>
      </w:r>
      <w:r>
        <w:rPr>
          <w:spacing w:val="-10"/>
        </w:rPr>
        <w:t>家庭储蓄征税采取更加一致和有效的办法，以此来应对不断变化的国际化经济模</w:t>
      </w:r>
      <w:r>
        <w:rPr>
          <w:spacing w:val="-14"/>
        </w:rPr>
        <w:t>式和贫富差距问题。同时，对于 </w:t>
      </w:r>
      <w:r>
        <w:rPr>
          <w:rFonts w:ascii="Times New Roman" w:eastAsia="Times New Roman"/>
        </w:rPr>
        <w:t>OECD </w:t>
      </w:r>
      <w:r>
        <w:rPr/>
        <w:t>及伙伴国家的税收体系完善有着重要的推动作用。</w:t>
      </w:r>
    </w:p>
    <w:p>
      <w:pPr>
        <w:spacing w:after="0" w:line="350" w:lineRule="auto"/>
        <w:sectPr>
          <w:pgSz w:w="11900" w:h="16850"/>
          <w:pgMar w:header="0" w:footer="992" w:top="1400" w:bottom="1180" w:left="1680" w:right="1560"/>
        </w:sectPr>
      </w:pPr>
    </w:p>
    <w:p>
      <w:pPr>
        <w:pStyle w:val="Heading3"/>
        <w:numPr>
          <w:ilvl w:val="0"/>
          <w:numId w:val="4"/>
        </w:numPr>
        <w:tabs>
          <w:tab w:pos="380" w:val="left" w:leader="none"/>
        </w:tabs>
        <w:spacing w:line="365" w:lineRule="exact" w:before="0" w:after="0"/>
        <w:ind w:left="379" w:right="0" w:hanging="259"/>
        <w:jc w:val="left"/>
        <w:rPr>
          <w:sz w:val="12"/>
        </w:rPr>
      </w:pPr>
      <w:bookmarkStart w:name="_bookmark9" w:id="19"/>
      <w:bookmarkEnd w:id="19"/>
      <w:r>
        <w:rPr>
          <w:b w:val="0"/>
        </w:rPr>
      </w:r>
      <w:bookmarkStart w:name="_bookmark9" w:id="20"/>
      <w:bookmarkEnd w:id="20"/>
      <w:r>
        <w:rPr>
          <w:rFonts w:ascii="Times New Roman" w:hAnsi="Times New Roman" w:eastAsia="Times New Roman"/>
        </w:rPr>
        <w:t>OE</w:t>
      </w:r>
      <w:r>
        <w:rPr>
          <w:rFonts w:ascii="Times New Roman" w:hAnsi="Times New Roman" w:eastAsia="Times New Roman"/>
        </w:rPr>
        <w:t>CD</w:t>
      </w:r>
      <w:r>
        <w:rPr>
          <w:rFonts w:ascii="Times New Roman" w:hAnsi="Times New Roman" w:eastAsia="Times New Roman"/>
          <w:spacing w:val="11"/>
        </w:rPr>
        <w:t> </w:t>
      </w:r>
      <w:r>
        <w:rPr/>
        <w:t>发布税务政策研究《税收和技术》</w:t>
      </w:r>
      <w:r>
        <w:rPr>
          <w:position w:val="8"/>
          <w:sz w:val="12"/>
        </w:rPr>
        <w:t>①</w:t>
      </w:r>
    </w:p>
    <w:p>
      <w:pPr>
        <w:pStyle w:val="BodyText"/>
        <w:spacing w:before="9"/>
        <w:rPr>
          <w:rFonts w:ascii="Microsoft YaHei"/>
          <w:b/>
          <w:sz w:val="31"/>
        </w:rPr>
      </w:pPr>
    </w:p>
    <w:p>
      <w:pPr>
        <w:pStyle w:val="BodyText"/>
        <w:spacing w:line="345" w:lineRule="auto"/>
        <w:ind w:left="120" w:right="113" w:firstLine="479"/>
        <w:jc w:val="both"/>
      </w:pPr>
      <w:r>
        <w:rPr>
          <w:spacing w:val="-7"/>
        </w:rPr>
        <w:t>更高的技术水平可以使：个人获得更高的工资和更好的职业前景；企业有更</w:t>
      </w:r>
      <w:r>
        <w:rPr>
          <w:spacing w:val="-11"/>
        </w:rPr>
        <w:t>高的生产力；政府有更高的经济增长率和税收收入。</w:t>
      </w:r>
      <w:r>
        <w:rPr>
          <w:rFonts w:ascii="Times New Roman" w:eastAsia="Times New Roman"/>
        </w:rPr>
        <w:t>OECD </w:t>
      </w:r>
      <w:r>
        <w:rPr/>
        <w:t>也不乏对此进行了相关研究。</w:t>
      </w:r>
    </w:p>
    <w:p>
      <w:pPr>
        <w:pStyle w:val="Heading3"/>
        <w:numPr>
          <w:ilvl w:val="1"/>
          <w:numId w:val="4"/>
        </w:numPr>
        <w:tabs>
          <w:tab w:pos="541" w:val="left" w:leader="none"/>
        </w:tabs>
        <w:spacing w:line="389" w:lineRule="exact" w:before="0" w:after="0"/>
        <w:ind w:left="540" w:right="0" w:hanging="420"/>
        <w:jc w:val="left"/>
        <w:rPr>
          <w:rFonts w:ascii="Times New Roman" w:eastAsia="Times New Roman"/>
        </w:rPr>
      </w:pPr>
      <w:r>
        <w:rPr/>
        <w:t>背景</w:t>
      </w:r>
    </w:p>
    <w:p>
      <w:pPr>
        <w:pStyle w:val="BodyText"/>
        <w:spacing w:line="336" w:lineRule="auto" w:before="125"/>
        <w:ind w:left="120" w:right="191" w:firstLine="479"/>
      </w:pPr>
      <w:r>
        <w:rPr>
          <w:rFonts w:ascii="Times New Roman" w:eastAsia="Times New Roman"/>
        </w:rPr>
        <w:t>2017 </w:t>
      </w:r>
      <w:r>
        <w:rPr>
          <w:spacing w:val="-31"/>
        </w:rPr>
        <w:t>年 </w:t>
      </w:r>
      <w:r>
        <w:rPr>
          <w:rFonts w:ascii="Times New Roman" w:eastAsia="Times New Roman"/>
        </w:rPr>
        <w:t>4 </w:t>
      </w:r>
      <w:r>
        <w:rPr>
          <w:spacing w:val="-31"/>
        </w:rPr>
        <w:t>月 </w:t>
      </w:r>
      <w:r>
        <w:rPr>
          <w:rFonts w:ascii="Times New Roman" w:eastAsia="Times New Roman"/>
        </w:rPr>
        <w:t>6 </w:t>
      </w:r>
      <w:r>
        <w:rPr/>
        <w:t>日，</w:t>
      </w:r>
      <w:r>
        <w:rPr>
          <w:rFonts w:ascii="Times New Roman" w:eastAsia="Times New Roman"/>
        </w:rPr>
        <w:t>OECD </w:t>
      </w:r>
      <w:r>
        <w:rPr/>
        <w:t>发布了税收政策研究文章《税收与技术》，以研究税收政策对经合组织国家技术学习的鼓励作用。</w:t>
      </w:r>
    </w:p>
    <w:p>
      <w:pPr>
        <w:pStyle w:val="Heading3"/>
        <w:numPr>
          <w:ilvl w:val="1"/>
          <w:numId w:val="4"/>
        </w:numPr>
        <w:tabs>
          <w:tab w:pos="541" w:val="left" w:leader="none"/>
        </w:tabs>
        <w:spacing w:line="401" w:lineRule="exact" w:before="0" w:after="0"/>
        <w:ind w:left="540" w:right="0" w:hanging="420"/>
        <w:jc w:val="left"/>
        <w:rPr>
          <w:rFonts w:ascii="Times New Roman" w:eastAsia="Times New Roman"/>
        </w:rPr>
      </w:pPr>
      <w:r>
        <w:rPr/>
        <w:t>内容</w:t>
      </w:r>
    </w:p>
    <w:p>
      <w:pPr>
        <w:pStyle w:val="BodyText"/>
        <w:spacing w:line="352" w:lineRule="auto" w:before="123"/>
        <w:ind w:left="120" w:right="108" w:firstLine="479"/>
      </w:pPr>
      <w:r>
        <w:rPr>
          <w:spacing w:val="-3"/>
        </w:rPr>
        <w:t>这项关于税收和技术的税收政策研究探讨了税收政策如何鼓励 </w:t>
      </w:r>
      <w:r>
        <w:rPr>
          <w:rFonts w:ascii="Times New Roman" w:eastAsia="Times New Roman"/>
        </w:rPr>
        <w:t>OECD </w:t>
      </w:r>
      <w:r>
        <w:rPr/>
        <w:t>国家</w:t>
      </w:r>
      <w:r>
        <w:rPr>
          <w:spacing w:val="-9"/>
        </w:rPr>
        <w:t>的技术发展。这项研究还评估了高等教育和成人教育的回报，并研究了政府和学</w:t>
      </w:r>
      <w:r>
        <w:rPr>
          <w:spacing w:val="-14"/>
        </w:rPr>
        <w:t>生之间如何分享这些回报。该研究建立了一些指标，用于研究个人和政府投资教育的激励措施。这些指标考虑了个人技术投资的各种财务成本，例如要放弃的税</w:t>
      </w:r>
      <w:r>
        <w:rPr>
          <w:spacing w:val="-16"/>
        </w:rPr>
        <w:t>后收入和要支付的学费，以及个人投资于技术学习是用自己的储蓄还是利用学生</w:t>
      </w:r>
      <w:r>
        <w:rPr>
          <w:spacing w:val="-14"/>
        </w:rPr>
        <w:t>贷款来融资。政府承担的费用，如捐赠、奖学金、税收损失和技术税支出也计算</w:t>
      </w:r>
      <w:r>
        <w:rPr>
          <w:spacing w:val="-12"/>
        </w:rPr>
        <w:t>在内。这些指标还分别通过提高税后工资和提高税收收入，将个人和政府的技术投资回报纳入其中。</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r>
        <w:rPr/>
        <w:drawing>
          <wp:anchor distT="0" distB="0" distL="0" distR="0" allowOverlap="1" layoutInCell="1" locked="0" behindDoc="0" simplePos="0" relativeHeight="1192">
            <wp:simplePos x="0" y="0"/>
            <wp:positionH relativeFrom="page">
              <wp:posOffset>1139494</wp:posOffset>
            </wp:positionH>
            <wp:positionV relativeFrom="paragraph">
              <wp:posOffset>239938</wp:posOffset>
            </wp:positionV>
            <wp:extent cx="1836734" cy="7619"/>
            <wp:effectExtent l="0" t="0" r="0" b="0"/>
            <wp:wrapTopAndBottom/>
            <wp:docPr id="23" name="image3.png" descr=""/>
            <wp:cNvGraphicFramePr>
              <a:graphicFrameLocks noChangeAspect="1"/>
            </wp:cNvGraphicFramePr>
            <a:graphic>
              <a:graphicData uri="http://schemas.openxmlformats.org/drawingml/2006/picture">
                <pic:pic>
                  <pic:nvPicPr>
                    <pic:cNvPr id="24" name="image3.png"/>
                    <pic:cNvPicPr/>
                  </pic:nvPicPr>
                  <pic:blipFill>
                    <a:blip r:embed="rId7" cstate="print"/>
                    <a:stretch>
                      <a:fillRect/>
                    </a:stretch>
                  </pic:blipFill>
                  <pic:spPr>
                    <a:xfrm>
                      <a:off x="0" y="0"/>
                      <a:ext cx="1836734" cy="7619"/>
                    </a:xfrm>
                    <a:prstGeom prst="rect">
                      <a:avLst/>
                    </a:prstGeom>
                  </pic:spPr>
                </pic:pic>
              </a:graphicData>
            </a:graphic>
          </wp:anchor>
        </w:drawing>
      </w:r>
    </w:p>
    <w:p>
      <w:pPr>
        <w:spacing w:before="76"/>
        <w:ind w:left="120" w:right="2756" w:firstLine="0"/>
        <w:jc w:val="left"/>
        <w:rPr>
          <w:rFonts w:ascii="Times New Roman" w:hAnsi="Times New Roman"/>
          <w:sz w:val="18"/>
        </w:rPr>
      </w:pPr>
      <w:r>
        <w:rPr>
          <w:position w:val="6"/>
          <w:sz w:val="9"/>
        </w:rPr>
        <w:t>① </w:t>
      </w:r>
      <w:r>
        <w:rPr>
          <w:rFonts w:ascii="Times New Roman" w:hAnsi="Times New Roman"/>
          <w:sz w:val="18"/>
        </w:rPr>
        <w:t>OECD /(2017), OECD Tax Policy Studies, OECD Publishing. https:/</w:t>
      </w:r>
      <w:hyperlink r:id="rId19">
        <w:r>
          <w:rPr>
            <w:rFonts w:ascii="Times New Roman" w:hAnsi="Times New Roman"/>
            <w:sz w:val="18"/>
          </w:rPr>
          <w:t>/www</w:t>
        </w:r>
      </w:hyperlink>
      <w:r>
        <w:rPr>
          <w:rFonts w:ascii="Times New Roman" w:hAnsi="Times New Roman"/>
          <w:sz w:val="18"/>
        </w:rPr>
        <w:t>.</w:t>
      </w:r>
      <w:hyperlink r:id="rId19">
        <w:r>
          <w:rPr>
            <w:rFonts w:ascii="Times New Roman" w:hAnsi="Times New Roman"/>
            <w:sz w:val="18"/>
          </w:rPr>
          <w:t>oecd-ilibrary.org/taxation/taxation-and-skills_9789264269385-en</w:t>
        </w:r>
      </w:hyperlink>
    </w:p>
    <w:p>
      <w:pPr>
        <w:spacing w:after="0"/>
        <w:jc w:val="left"/>
        <w:rPr>
          <w:rFonts w:ascii="Times New Roman" w:hAnsi="Times New Roman"/>
          <w:sz w:val="18"/>
        </w:rPr>
        <w:sectPr>
          <w:pgSz w:w="11900" w:h="16850"/>
          <w:pgMar w:header="0" w:footer="992" w:top="1380" w:bottom="1180" w:left="1680" w:right="1680"/>
        </w:sectPr>
      </w:pPr>
    </w:p>
    <w:p>
      <w:pPr>
        <w:pStyle w:val="BodyText"/>
        <w:rPr>
          <w:rFonts w:ascii="Times New Roman"/>
          <w:sz w:val="20"/>
        </w:rPr>
      </w:pPr>
    </w:p>
    <w:p>
      <w:pPr>
        <w:pStyle w:val="BodyText"/>
        <w:rPr>
          <w:rFonts w:ascii="Times New Roman"/>
          <w:sz w:val="20"/>
        </w:rPr>
      </w:pPr>
    </w:p>
    <w:p>
      <w:pPr>
        <w:spacing w:before="65"/>
        <w:ind w:left="280" w:right="0" w:firstLine="0"/>
        <w:jc w:val="left"/>
        <w:rPr>
          <w:rFonts w:ascii="Microsoft YaHei" w:eastAsia="Microsoft YaHei" w:hint="eastAsia"/>
          <w:b/>
          <w:sz w:val="32"/>
        </w:rPr>
      </w:pPr>
      <w:r>
        <w:rPr/>
        <w:drawing>
          <wp:anchor distT="0" distB="0" distL="0" distR="0" allowOverlap="1" layoutInCell="1" locked="0" behindDoc="0" simplePos="0" relativeHeight="1216">
            <wp:simplePos x="0" y="0"/>
            <wp:positionH relativeFrom="page">
              <wp:posOffset>1040891</wp:posOffset>
            </wp:positionH>
            <wp:positionV relativeFrom="paragraph">
              <wp:posOffset>422609</wp:posOffset>
            </wp:positionV>
            <wp:extent cx="2022463" cy="1015746"/>
            <wp:effectExtent l="0" t="0" r="0" b="0"/>
            <wp:wrapTopAndBottom/>
            <wp:docPr id="25" name="image5.png" descr=""/>
            <wp:cNvGraphicFramePr>
              <a:graphicFrameLocks noChangeAspect="1"/>
            </wp:cNvGraphicFramePr>
            <a:graphic>
              <a:graphicData uri="http://schemas.openxmlformats.org/drawingml/2006/picture">
                <pic:pic>
                  <pic:nvPicPr>
                    <pic:cNvPr id="26" name="image5.png"/>
                    <pic:cNvPicPr/>
                  </pic:nvPicPr>
                  <pic:blipFill>
                    <a:blip r:embed="rId20" cstate="print"/>
                    <a:stretch>
                      <a:fillRect/>
                    </a:stretch>
                  </pic:blipFill>
                  <pic:spPr>
                    <a:xfrm>
                      <a:off x="0" y="0"/>
                      <a:ext cx="2022463" cy="1015746"/>
                    </a:xfrm>
                    <a:prstGeom prst="rect">
                      <a:avLst/>
                    </a:prstGeom>
                  </pic:spPr>
                </pic:pic>
              </a:graphicData>
            </a:graphic>
          </wp:anchor>
        </w:drawing>
      </w:r>
      <w:r>
        <w:rPr>
          <w:rFonts w:ascii="Microsoft YaHei" w:eastAsia="Microsoft YaHei" w:hint="eastAsia"/>
          <w:b/>
          <w:color w:val="001F5F"/>
          <w:sz w:val="32"/>
        </w:rPr>
        <w:t>智库视野</w:t>
      </w:r>
    </w:p>
    <w:p>
      <w:pPr>
        <w:pStyle w:val="Heading3"/>
        <w:tabs>
          <w:tab w:pos="2248" w:val="left" w:leader="none"/>
        </w:tabs>
        <w:ind w:left="441"/>
      </w:pPr>
      <w:r>
        <w:rPr>
          <w:color w:val="001F5F"/>
        </w:rPr>
        <w:t>研究院微信</w:t>
        <w:tab/>
        <w:t>研究院微博</w:t>
      </w:r>
    </w:p>
    <w:p>
      <w:pPr>
        <w:pStyle w:val="BodyText"/>
        <w:rPr>
          <w:rFonts w:ascii="Microsoft YaHei"/>
          <w:b/>
          <w:sz w:val="20"/>
        </w:rPr>
      </w:pPr>
    </w:p>
    <w:p>
      <w:pPr>
        <w:pStyle w:val="BodyText"/>
        <w:rPr>
          <w:rFonts w:ascii="Microsoft YaHei"/>
          <w:b/>
          <w:sz w:val="20"/>
        </w:rPr>
      </w:pPr>
    </w:p>
    <w:p>
      <w:pPr>
        <w:pStyle w:val="BodyText"/>
        <w:rPr>
          <w:rFonts w:ascii="Microsoft YaHei"/>
          <w:b/>
          <w:sz w:val="20"/>
        </w:rPr>
      </w:pPr>
    </w:p>
    <w:p>
      <w:pPr>
        <w:pStyle w:val="BodyText"/>
        <w:spacing w:before="6"/>
        <w:rPr>
          <w:rFonts w:ascii="Microsoft YaHei"/>
          <w:b/>
          <w:sz w:val="25"/>
        </w:rPr>
      </w:pPr>
      <w:r>
        <w:rPr/>
        <w:drawing>
          <wp:anchor distT="0" distB="0" distL="0" distR="0" allowOverlap="1" layoutInCell="1" locked="0" behindDoc="0" simplePos="0" relativeHeight="1240">
            <wp:simplePos x="0" y="0"/>
            <wp:positionH relativeFrom="page">
              <wp:posOffset>3261359</wp:posOffset>
            </wp:positionH>
            <wp:positionV relativeFrom="paragraph">
              <wp:posOffset>303097</wp:posOffset>
            </wp:positionV>
            <wp:extent cx="1025790" cy="835437"/>
            <wp:effectExtent l="0" t="0" r="0" b="0"/>
            <wp:wrapTopAndBottom/>
            <wp:docPr id="27" name="image6.png" descr=""/>
            <wp:cNvGraphicFramePr>
              <a:graphicFrameLocks noChangeAspect="1"/>
            </wp:cNvGraphicFramePr>
            <a:graphic>
              <a:graphicData uri="http://schemas.openxmlformats.org/drawingml/2006/picture">
                <pic:pic>
                  <pic:nvPicPr>
                    <pic:cNvPr id="28" name="image6.png"/>
                    <pic:cNvPicPr/>
                  </pic:nvPicPr>
                  <pic:blipFill>
                    <a:blip r:embed="rId21" cstate="print"/>
                    <a:stretch>
                      <a:fillRect/>
                    </a:stretch>
                  </pic:blipFill>
                  <pic:spPr>
                    <a:xfrm>
                      <a:off x="0" y="0"/>
                      <a:ext cx="1025790" cy="835437"/>
                    </a:xfrm>
                    <a:prstGeom prst="rect">
                      <a:avLst/>
                    </a:prstGeom>
                  </pic:spPr>
                </pic:pic>
              </a:graphicData>
            </a:graphic>
          </wp:anchor>
        </w:drawing>
      </w:r>
    </w:p>
    <w:p>
      <w:pPr>
        <w:pStyle w:val="BodyText"/>
        <w:rPr>
          <w:rFonts w:ascii="Microsoft YaHei"/>
          <w:b/>
          <w:sz w:val="20"/>
        </w:rPr>
      </w:pPr>
    </w:p>
    <w:p>
      <w:pPr>
        <w:pStyle w:val="BodyText"/>
        <w:rPr>
          <w:rFonts w:ascii="Microsoft YaHei"/>
          <w:b/>
          <w:sz w:val="20"/>
        </w:rPr>
      </w:pPr>
    </w:p>
    <w:p>
      <w:pPr>
        <w:pStyle w:val="BodyText"/>
        <w:rPr>
          <w:rFonts w:ascii="Microsoft YaHei"/>
          <w:b/>
          <w:sz w:val="20"/>
        </w:rPr>
      </w:pPr>
    </w:p>
    <w:p>
      <w:pPr>
        <w:pStyle w:val="BodyText"/>
        <w:spacing w:before="11"/>
        <w:rPr>
          <w:rFonts w:ascii="Microsoft YaHei"/>
          <w:b/>
          <w:sz w:val="22"/>
        </w:rPr>
      </w:pPr>
    </w:p>
    <w:p>
      <w:pPr>
        <w:spacing w:line="369" w:lineRule="exact" w:before="0"/>
        <w:ind w:left="0" w:right="113" w:firstLine="0"/>
        <w:jc w:val="right"/>
        <w:rPr>
          <w:rFonts w:ascii="Microsoft YaHei" w:eastAsia="Microsoft YaHei" w:hint="eastAsia"/>
          <w:b/>
          <w:sz w:val="24"/>
        </w:rPr>
      </w:pPr>
      <w:r>
        <w:rPr>
          <w:rFonts w:ascii="Microsoft YaHei" w:eastAsia="Microsoft YaHei" w:hint="eastAsia"/>
          <w:b/>
          <w:color w:val="001F5F"/>
          <w:sz w:val="24"/>
        </w:rPr>
        <w:t>主办</w:t>
      </w:r>
    </w:p>
    <w:p>
      <w:pPr>
        <w:spacing w:before="8"/>
        <w:ind w:left="0" w:right="118" w:firstLine="0"/>
        <w:jc w:val="right"/>
        <w:rPr>
          <w:rFonts w:ascii="Microsoft YaHei" w:eastAsia="Microsoft YaHei" w:hint="eastAsia"/>
          <w:b/>
          <w:sz w:val="24"/>
        </w:rPr>
      </w:pPr>
      <w:r>
        <w:rPr>
          <w:rFonts w:ascii="Microsoft YaHei" w:eastAsia="Microsoft YaHei" w:hint="eastAsia"/>
          <w:b/>
          <w:color w:val="001F5F"/>
          <w:sz w:val="24"/>
        </w:rPr>
        <w:t>上海财经大学公共政策与治理研究院</w:t>
      </w:r>
    </w:p>
    <w:p>
      <w:pPr>
        <w:spacing w:line="244" w:lineRule="auto" w:before="8"/>
        <w:ind w:left="6651" w:right="116" w:hanging="240"/>
        <w:jc w:val="right"/>
        <w:rPr>
          <w:rFonts w:ascii="Arial" w:eastAsia="Arial"/>
          <w:b/>
          <w:sz w:val="24"/>
        </w:rPr>
      </w:pPr>
      <w:r>
        <w:rPr>
          <w:rFonts w:ascii="Microsoft YaHei" w:eastAsia="Microsoft YaHei" w:hint="eastAsia"/>
          <w:b/>
          <w:color w:val="001F5F"/>
          <w:sz w:val="24"/>
        </w:rPr>
        <w:t>上海市国定路</w:t>
      </w:r>
      <w:r>
        <w:rPr>
          <w:rFonts w:ascii="Arial" w:eastAsia="Arial"/>
          <w:b/>
          <w:color w:val="001F5F"/>
          <w:sz w:val="24"/>
        </w:rPr>
        <w:t>777 </w:t>
      </w:r>
      <w:r>
        <w:rPr>
          <w:rFonts w:ascii="Microsoft YaHei" w:eastAsia="Microsoft YaHei" w:hint="eastAsia"/>
          <w:b/>
          <w:color w:val="001F5F"/>
          <w:sz w:val="24"/>
        </w:rPr>
        <w:t>号</w:t>
      </w:r>
      <w:r>
        <w:rPr>
          <w:rFonts w:ascii="Microsoft YaHei" w:eastAsia="Microsoft YaHei" w:hint="eastAsia"/>
          <w:b/>
          <w:color w:val="001F5F"/>
          <w:w w:val="95"/>
          <w:sz w:val="24"/>
        </w:rPr>
        <w:t>邮政编码：</w:t>
      </w:r>
      <w:r>
        <w:rPr>
          <w:rFonts w:ascii="Arial" w:eastAsia="Arial"/>
          <w:b/>
          <w:color w:val="001F5F"/>
          <w:w w:val="95"/>
          <w:sz w:val="24"/>
        </w:rPr>
        <w:t>200433</w:t>
      </w:r>
    </w:p>
    <w:p>
      <w:pPr>
        <w:spacing w:before="1"/>
        <w:ind w:left="0" w:right="116" w:firstLine="0"/>
        <w:jc w:val="right"/>
        <w:rPr>
          <w:rFonts w:ascii="Arial" w:eastAsia="Arial"/>
          <w:b/>
          <w:sz w:val="24"/>
        </w:rPr>
      </w:pPr>
      <w:r>
        <w:rPr>
          <w:rFonts w:ascii="Microsoft YaHei" w:eastAsia="Microsoft YaHei" w:hint="eastAsia"/>
          <w:b/>
          <w:color w:val="001F5F"/>
          <w:w w:val="95"/>
          <w:sz w:val="24"/>
        </w:rPr>
        <w:t>电话</w:t>
      </w:r>
      <w:r>
        <w:rPr>
          <w:rFonts w:ascii="Arial" w:eastAsia="Arial"/>
          <w:b/>
          <w:color w:val="001F5F"/>
          <w:w w:val="95"/>
          <w:sz w:val="24"/>
        </w:rPr>
        <w:t>:</w:t>
      </w:r>
      <w:r>
        <w:rPr>
          <w:rFonts w:ascii="Microsoft YaHei" w:eastAsia="Microsoft YaHei" w:hint="eastAsia"/>
          <w:b/>
          <w:color w:val="001F5F"/>
          <w:w w:val="95"/>
          <w:sz w:val="24"/>
        </w:rPr>
        <w:t>（</w:t>
      </w:r>
      <w:r>
        <w:rPr>
          <w:rFonts w:ascii="Arial" w:eastAsia="Arial"/>
          <w:b/>
          <w:color w:val="001F5F"/>
          <w:w w:val="95"/>
          <w:sz w:val="24"/>
        </w:rPr>
        <w:t>021</w:t>
      </w:r>
      <w:r>
        <w:rPr>
          <w:rFonts w:ascii="Microsoft YaHei" w:eastAsia="Microsoft YaHei" w:hint="eastAsia"/>
          <w:b/>
          <w:color w:val="001F5F"/>
          <w:w w:val="95"/>
          <w:sz w:val="24"/>
        </w:rPr>
        <w:t>）</w:t>
      </w:r>
      <w:r>
        <w:rPr>
          <w:rFonts w:ascii="Arial" w:eastAsia="Arial"/>
          <w:b/>
          <w:color w:val="001F5F"/>
          <w:w w:val="95"/>
          <w:sz w:val="24"/>
        </w:rPr>
        <w:t>6590  8706</w:t>
      </w:r>
    </w:p>
    <w:p>
      <w:pPr>
        <w:spacing w:before="8"/>
        <w:ind w:left="0" w:right="116" w:firstLine="0"/>
        <w:jc w:val="right"/>
        <w:rPr>
          <w:rFonts w:ascii="Microsoft YaHei" w:eastAsia="Microsoft YaHei" w:hint="eastAsia"/>
          <w:b/>
          <w:sz w:val="24"/>
        </w:rPr>
      </w:pPr>
      <w:r>
        <w:rPr>
          <w:rFonts w:ascii="Arial" w:eastAsia="Arial"/>
          <w:b/>
          <w:color w:val="001F5F"/>
          <w:sz w:val="24"/>
        </w:rPr>
        <w:t>86 158 2174 6491</w:t>
      </w:r>
      <w:r>
        <w:rPr>
          <w:rFonts w:ascii="Microsoft YaHei" w:eastAsia="Microsoft YaHei" w:hint="eastAsia"/>
          <w:b/>
          <w:color w:val="001F5F"/>
          <w:sz w:val="24"/>
        </w:rPr>
        <w:t>（田志伟）</w:t>
      </w:r>
    </w:p>
    <w:p>
      <w:pPr>
        <w:spacing w:before="8"/>
        <w:ind w:left="0" w:right="118" w:firstLine="0"/>
        <w:jc w:val="right"/>
        <w:rPr>
          <w:rFonts w:ascii="Arial" w:eastAsia="Arial"/>
          <w:b/>
          <w:sz w:val="24"/>
        </w:rPr>
      </w:pPr>
      <w:r>
        <w:rPr>
          <w:rFonts w:ascii="Microsoft YaHei" w:eastAsia="Microsoft YaHei" w:hint="eastAsia"/>
          <w:b/>
          <w:color w:val="001F5F"/>
          <w:w w:val="95"/>
          <w:sz w:val="24"/>
        </w:rPr>
        <w:t>官方微博</w:t>
      </w:r>
      <w:r>
        <w:rPr>
          <w:rFonts w:ascii="Arial" w:eastAsia="Arial"/>
          <w:b/>
          <w:color w:val="001F5F"/>
          <w:w w:val="95"/>
          <w:sz w:val="24"/>
        </w:rPr>
        <w:t>:e.weibo.com/u/3932265304</w:t>
      </w:r>
    </w:p>
    <w:p>
      <w:pPr>
        <w:spacing w:before="10"/>
        <w:ind w:left="0" w:right="117" w:firstLine="0"/>
        <w:jc w:val="right"/>
        <w:rPr>
          <w:rFonts w:ascii="Arial" w:eastAsia="Arial"/>
          <w:b/>
          <w:sz w:val="24"/>
        </w:rPr>
      </w:pPr>
      <w:r>
        <w:rPr>
          <w:rFonts w:ascii="Microsoft YaHei" w:eastAsia="Microsoft YaHei" w:hint="eastAsia"/>
          <w:b/>
          <w:color w:val="001F5F"/>
          <w:w w:val="85"/>
          <w:sz w:val="24"/>
        </w:rPr>
        <w:t>邮箱：</w:t>
      </w:r>
      <w:hyperlink r:id="rId22">
        <w:r>
          <w:rPr>
            <w:rFonts w:ascii="Arial" w:eastAsia="Arial"/>
            <w:b/>
            <w:color w:val="001F5F"/>
            <w:w w:val="85"/>
            <w:sz w:val="24"/>
          </w:rPr>
          <w:t>120286069@qq.com</w:t>
        </w:r>
      </w:hyperlink>
    </w:p>
    <w:sectPr>
      <w:pgSz w:w="11900" w:h="16850"/>
      <w:pgMar w:header="0" w:footer="992" w:top="1600" w:bottom="1180" w:left="15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YaHei">
    <w:altName w:val="Microsoft YaHei"/>
    <w:charset w:val="0"/>
    <w:family w:val="swiss"/>
    <w:pitch w:val="variable"/>
  </w:font>
  <w:font w:name="SimSun">
    <w:altName w:val="SimSun"/>
    <w:charset w:val="0"/>
    <w:family w:val="auto"/>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35">
          <wp:simplePos x="0" y="0"/>
          <wp:positionH relativeFrom="page">
            <wp:posOffset>1133398</wp:posOffset>
          </wp:positionH>
          <wp:positionV relativeFrom="page">
            <wp:posOffset>2794723</wp:posOffset>
          </wp:positionV>
          <wp:extent cx="5289194" cy="510446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289194" cy="510446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93.269989pt;margin-top:781.419983pt;width:8.5pt;height:12pt;mso-position-horizontal-relative:page;mso-position-vertical-relative:page;z-index:-1009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drawing>
        <wp:anchor distT="0" distB="0" distL="0" distR="0" allowOverlap="1" layoutInCell="1" locked="0" behindDoc="1" simplePos="0" relativeHeight="268425383">
          <wp:simplePos x="0" y="0"/>
          <wp:positionH relativeFrom="page">
            <wp:posOffset>1133398</wp:posOffset>
          </wp:positionH>
          <wp:positionV relativeFrom="page">
            <wp:posOffset>2794723</wp:posOffset>
          </wp:positionV>
          <wp:extent cx="5289194" cy="5104461"/>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5289194" cy="5104461"/>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07">
          <wp:simplePos x="0" y="0"/>
          <wp:positionH relativeFrom="page">
            <wp:posOffset>1133398</wp:posOffset>
          </wp:positionH>
          <wp:positionV relativeFrom="page">
            <wp:posOffset>2794723</wp:posOffset>
          </wp:positionV>
          <wp:extent cx="5289194" cy="5104461"/>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5289194" cy="5104461"/>
                  </a:xfrm>
                  <a:prstGeom prst="rect">
                    <a:avLst/>
                  </a:prstGeom>
                </pic:spPr>
              </pic:pic>
            </a:graphicData>
          </a:graphic>
        </wp:anchor>
      </w:drawing>
    </w:r>
    <w:r>
      <w:rPr/>
      <w:pict>
        <v:shape style="position:absolute;margin-left:293.269989pt;margin-top:781.419983pt;width:8.5pt;height:12pt;mso-position-horizontal-relative:page;mso-position-vertical-relative:page;z-index:-1002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55">
          <wp:simplePos x="0" y="0"/>
          <wp:positionH relativeFrom="page">
            <wp:posOffset>1133398</wp:posOffset>
          </wp:positionH>
          <wp:positionV relativeFrom="page">
            <wp:posOffset>2794723</wp:posOffset>
          </wp:positionV>
          <wp:extent cx="5289194" cy="5104461"/>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5289194" cy="5104461"/>
                  </a:xfrm>
                  <a:prstGeom prst="rect">
                    <a:avLst/>
                  </a:prstGeom>
                </pic:spPr>
              </pic:pic>
            </a:graphicData>
          </a:graphic>
        </wp:anchor>
      </w:drawing>
    </w:r>
    <w:r>
      <w:rPr/>
      <w:pict>
        <v:shape style="position:absolute;margin-left:291.109985pt;margin-top:781.419983pt;width:13.15pt;height:12pt;mso-position-horizontal-relative:page;mso-position-vertical-relative:page;z-index:-997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0" w:hanging="248"/>
        <w:jc w:val="left"/>
      </w:pPr>
      <w:rPr>
        <w:rFonts w:hint="default" w:ascii="Times New Roman" w:hAnsi="Times New Roman" w:eastAsia="Times New Roman" w:cs="Times New Roman"/>
        <w:b/>
        <w:bCs/>
        <w:w w:val="100"/>
        <w:sz w:val="24"/>
        <w:szCs w:val="24"/>
      </w:rPr>
    </w:lvl>
    <w:lvl w:ilvl="1">
      <w:start w:val="1"/>
      <w:numFmt w:val="decimal"/>
      <w:lvlText w:val="%1.%2"/>
      <w:lvlJc w:val="left"/>
      <w:pPr>
        <w:ind w:left="540" w:hanging="420"/>
        <w:jc w:val="left"/>
      </w:pPr>
      <w:rPr>
        <w:rFonts w:hint="default"/>
        <w:b/>
        <w:bCs/>
        <w:spacing w:val="-1"/>
        <w:w w:val="100"/>
      </w:rPr>
    </w:lvl>
    <w:lvl w:ilvl="2">
      <w:start w:val="0"/>
      <w:numFmt w:val="bullet"/>
      <w:lvlText w:val="•"/>
      <w:lvlJc w:val="left"/>
      <w:pPr>
        <w:ind w:left="540" w:hanging="420"/>
      </w:pPr>
      <w:rPr>
        <w:rFonts w:hint="default"/>
      </w:rPr>
    </w:lvl>
    <w:lvl w:ilvl="3">
      <w:start w:val="0"/>
      <w:numFmt w:val="bullet"/>
      <w:lvlText w:val="•"/>
      <w:lvlJc w:val="left"/>
      <w:pPr>
        <w:ind w:left="580" w:hanging="420"/>
      </w:pPr>
      <w:rPr>
        <w:rFonts w:hint="default"/>
      </w:rPr>
    </w:lvl>
    <w:lvl w:ilvl="4">
      <w:start w:val="0"/>
      <w:numFmt w:val="bullet"/>
      <w:lvlText w:val="•"/>
      <w:lvlJc w:val="left"/>
      <w:pPr>
        <w:ind w:left="1717" w:hanging="420"/>
      </w:pPr>
      <w:rPr>
        <w:rFonts w:hint="default"/>
      </w:rPr>
    </w:lvl>
    <w:lvl w:ilvl="5">
      <w:start w:val="0"/>
      <w:numFmt w:val="bullet"/>
      <w:lvlText w:val="•"/>
      <w:lvlJc w:val="left"/>
      <w:pPr>
        <w:ind w:left="2854" w:hanging="420"/>
      </w:pPr>
      <w:rPr>
        <w:rFonts w:hint="default"/>
      </w:rPr>
    </w:lvl>
    <w:lvl w:ilvl="6">
      <w:start w:val="0"/>
      <w:numFmt w:val="bullet"/>
      <w:lvlText w:val="•"/>
      <w:lvlJc w:val="left"/>
      <w:pPr>
        <w:ind w:left="3991" w:hanging="420"/>
      </w:pPr>
      <w:rPr>
        <w:rFonts w:hint="default"/>
      </w:rPr>
    </w:lvl>
    <w:lvl w:ilvl="7">
      <w:start w:val="0"/>
      <w:numFmt w:val="bullet"/>
      <w:lvlText w:val="•"/>
      <w:lvlJc w:val="left"/>
      <w:pPr>
        <w:ind w:left="5128" w:hanging="420"/>
      </w:pPr>
      <w:rPr>
        <w:rFonts w:hint="default"/>
      </w:rPr>
    </w:lvl>
    <w:lvl w:ilvl="8">
      <w:start w:val="0"/>
      <w:numFmt w:val="bullet"/>
      <w:lvlText w:val="•"/>
      <w:lvlJc w:val="left"/>
      <w:pPr>
        <w:ind w:left="6265" w:hanging="420"/>
      </w:pPr>
      <w:rPr>
        <w:rFonts w:hint="default"/>
      </w:rPr>
    </w:lvl>
  </w:abstractNum>
  <w:abstractNum w:abstractNumId="2">
    <w:multiLevelType w:val="hybridMultilevel"/>
    <w:lvl w:ilvl="0">
      <w:start w:val="0"/>
      <w:numFmt w:val="bullet"/>
      <w:lvlText w:val=""/>
      <w:lvlJc w:val="left"/>
      <w:pPr>
        <w:ind w:left="600" w:hanging="480"/>
      </w:pPr>
      <w:rPr>
        <w:rFonts w:hint="default" w:ascii="Wingdings" w:hAnsi="Wingdings" w:eastAsia="Wingdings" w:cs="Wingdings"/>
        <w:w w:val="99"/>
        <w:sz w:val="24"/>
        <w:szCs w:val="24"/>
      </w:rPr>
    </w:lvl>
    <w:lvl w:ilvl="1">
      <w:start w:val="0"/>
      <w:numFmt w:val="bullet"/>
      <w:lvlText w:val="•"/>
      <w:lvlJc w:val="left"/>
      <w:pPr>
        <w:ind w:left="1417" w:hanging="480"/>
      </w:pPr>
      <w:rPr>
        <w:rFonts w:hint="default"/>
      </w:rPr>
    </w:lvl>
    <w:lvl w:ilvl="2">
      <w:start w:val="0"/>
      <w:numFmt w:val="bullet"/>
      <w:lvlText w:val="•"/>
      <w:lvlJc w:val="left"/>
      <w:pPr>
        <w:ind w:left="2235" w:hanging="480"/>
      </w:pPr>
      <w:rPr>
        <w:rFonts w:hint="default"/>
      </w:rPr>
    </w:lvl>
    <w:lvl w:ilvl="3">
      <w:start w:val="0"/>
      <w:numFmt w:val="bullet"/>
      <w:lvlText w:val="•"/>
      <w:lvlJc w:val="left"/>
      <w:pPr>
        <w:ind w:left="3053" w:hanging="480"/>
      </w:pPr>
      <w:rPr>
        <w:rFonts w:hint="default"/>
      </w:rPr>
    </w:lvl>
    <w:lvl w:ilvl="4">
      <w:start w:val="0"/>
      <w:numFmt w:val="bullet"/>
      <w:lvlText w:val="•"/>
      <w:lvlJc w:val="left"/>
      <w:pPr>
        <w:ind w:left="3871" w:hanging="480"/>
      </w:pPr>
      <w:rPr>
        <w:rFonts w:hint="default"/>
      </w:rPr>
    </w:lvl>
    <w:lvl w:ilvl="5">
      <w:start w:val="0"/>
      <w:numFmt w:val="bullet"/>
      <w:lvlText w:val="•"/>
      <w:lvlJc w:val="left"/>
      <w:pPr>
        <w:ind w:left="4689" w:hanging="480"/>
      </w:pPr>
      <w:rPr>
        <w:rFonts w:hint="default"/>
      </w:rPr>
    </w:lvl>
    <w:lvl w:ilvl="6">
      <w:start w:val="0"/>
      <w:numFmt w:val="bullet"/>
      <w:lvlText w:val="•"/>
      <w:lvlJc w:val="left"/>
      <w:pPr>
        <w:ind w:left="5507" w:hanging="480"/>
      </w:pPr>
      <w:rPr>
        <w:rFonts w:hint="default"/>
      </w:rPr>
    </w:lvl>
    <w:lvl w:ilvl="7">
      <w:start w:val="0"/>
      <w:numFmt w:val="bullet"/>
      <w:lvlText w:val="•"/>
      <w:lvlJc w:val="left"/>
      <w:pPr>
        <w:ind w:left="6325" w:hanging="480"/>
      </w:pPr>
      <w:rPr>
        <w:rFonts w:hint="default"/>
      </w:rPr>
    </w:lvl>
    <w:lvl w:ilvl="8">
      <w:start w:val="0"/>
      <w:numFmt w:val="bullet"/>
      <w:lvlText w:val="•"/>
      <w:lvlJc w:val="left"/>
      <w:pPr>
        <w:ind w:left="7143" w:hanging="480"/>
      </w:pPr>
      <w:rPr>
        <w:rFonts w:hint="default"/>
      </w:rPr>
    </w:lvl>
  </w:abstractNum>
  <w:abstractNum w:abstractNumId="1">
    <w:multiLevelType w:val="hybridMultilevel"/>
    <w:lvl w:ilvl="0">
      <w:start w:val="2"/>
      <w:numFmt w:val="decimal"/>
      <w:lvlText w:val="%1."/>
      <w:lvlJc w:val="left"/>
      <w:pPr>
        <w:ind w:left="360" w:hanging="212"/>
        <w:jc w:val="left"/>
      </w:pPr>
      <w:rPr>
        <w:rFonts w:hint="default"/>
        <w:b/>
        <w:bCs/>
        <w:w w:val="100"/>
      </w:rPr>
    </w:lvl>
    <w:lvl w:ilvl="1">
      <w:start w:val="0"/>
      <w:numFmt w:val="bullet"/>
      <w:lvlText w:val="•"/>
      <w:lvlJc w:val="left"/>
      <w:pPr>
        <w:ind w:left="1177" w:hanging="212"/>
      </w:pPr>
      <w:rPr>
        <w:rFonts w:hint="default"/>
      </w:rPr>
    </w:lvl>
    <w:lvl w:ilvl="2">
      <w:start w:val="0"/>
      <w:numFmt w:val="bullet"/>
      <w:lvlText w:val="•"/>
      <w:lvlJc w:val="left"/>
      <w:pPr>
        <w:ind w:left="1995" w:hanging="212"/>
      </w:pPr>
      <w:rPr>
        <w:rFonts w:hint="default"/>
      </w:rPr>
    </w:lvl>
    <w:lvl w:ilvl="3">
      <w:start w:val="0"/>
      <w:numFmt w:val="bullet"/>
      <w:lvlText w:val="•"/>
      <w:lvlJc w:val="left"/>
      <w:pPr>
        <w:ind w:left="2813" w:hanging="212"/>
      </w:pPr>
      <w:rPr>
        <w:rFonts w:hint="default"/>
      </w:rPr>
    </w:lvl>
    <w:lvl w:ilvl="4">
      <w:start w:val="0"/>
      <w:numFmt w:val="bullet"/>
      <w:lvlText w:val="•"/>
      <w:lvlJc w:val="left"/>
      <w:pPr>
        <w:ind w:left="3631" w:hanging="212"/>
      </w:pPr>
      <w:rPr>
        <w:rFonts w:hint="default"/>
      </w:rPr>
    </w:lvl>
    <w:lvl w:ilvl="5">
      <w:start w:val="0"/>
      <w:numFmt w:val="bullet"/>
      <w:lvlText w:val="•"/>
      <w:lvlJc w:val="left"/>
      <w:pPr>
        <w:ind w:left="4449" w:hanging="212"/>
      </w:pPr>
      <w:rPr>
        <w:rFonts w:hint="default"/>
      </w:rPr>
    </w:lvl>
    <w:lvl w:ilvl="6">
      <w:start w:val="0"/>
      <w:numFmt w:val="bullet"/>
      <w:lvlText w:val="•"/>
      <w:lvlJc w:val="left"/>
      <w:pPr>
        <w:ind w:left="5267" w:hanging="212"/>
      </w:pPr>
      <w:rPr>
        <w:rFonts w:hint="default"/>
      </w:rPr>
    </w:lvl>
    <w:lvl w:ilvl="7">
      <w:start w:val="0"/>
      <w:numFmt w:val="bullet"/>
      <w:lvlText w:val="•"/>
      <w:lvlJc w:val="left"/>
      <w:pPr>
        <w:ind w:left="6085" w:hanging="212"/>
      </w:pPr>
      <w:rPr>
        <w:rFonts w:hint="default"/>
      </w:rPr>
    </w:lvl>
    <w:lvl w:ilvl="8">
      <w:start w:val="0"/>
      <w:numFmt w:val="bullet"/>
      <w:lvlText w:val="•"/>
      <w:lvlJc w:val="left"/>
      <w:pPr>
        <w:ind w:left="6903" w:hanging="212"/>
      </w:pPr>
      <w:rPr>
        <w:rFonts w:hint="default"/>
      </w:rPr>
    </w:lvl>
  </w:abstractNum>
  <w:abstractNum w:abstractNumId="0">
    <w:multiLevelType w:val="hybridMultilevel"/>
    <w:lvl w:ilvl="0">
      <w:start w:val="0"/>
      <w:numFmt w:val="bullet"/>
      <w:lvlText w:val=""/>
      <w:lvlJc w:val="left"/>
      <w:pPr>
        <w:ind w:left="600" w:hanging="480"/>
      </w:pPr>
      <w:rPr>
        <w:rFonts w:hint="default" w:ascii="Wingdings" w:hAnsi="Wingdings" w:eastAsia="Wingdings" w:cs="Wingdings"/>
        <w:b/>
        <w:bCs/>
        <w:w w:val="100"/>
        <w:sz w:val="22"/>
        <w:szCs w:val="22"/>
      </w:rPr>
    </w:lvl>
    <w:lvl w:ilvl="1">
      <w:start w:val="1"/>
      <w:numFmt w:val="decimal"/>
      <w:lvlText w:val="%2."/>
      <w:lvlJc w:val="left"/>
      <w:pPr>
        <w:ind w:left="360" w:hanging="212"/>
        <w:jc w:val="left"/>
      </w:pPr>
      <w:rPr>
        <w:rFonts w:hint="default"/>
        <w:w w:val="100"/>
      </w:rPr>
    </w:lvl>
    <w:lvl w:ilvl="2">
      <w:start w:val="0"/>
      <w:numFmt w:val="bullet"/>
      <w:lvlText w:val="•"/>
      <w:lvlJc w:val="left"/>
      <w:pPr>
        <w:ind w:left="1482" w:hanging="212"/>
      </w:pPr>
      <w:rPr>
        <w:rFonts w:hint="default"/>
      </w:rPr>
    </w:lvl>
    <w:lvl w:ilvl="3">
      <w:start w:val="0"/>
      <w:numFmt w:val="bullet"/>
      <w:lvlText w:val="•"/>
      <w:lvlJc w:val="left"/>
      <w:pPr>
        <w:ind w:left="2364" w:hanging="212"/>
      </w:pPr>
      <w:rPr>
        <w:rFonts w:hint="default"/>
      </w:rPr>
    </w:lvl>
    <w:lvl w:ilvl="4">
      <w:start w:val="0"/>
      <w:numFmt w:val="bullet"/>
      <w:lvlText w:val="•"/>
      <w:lvlJc w:val="left"/>
      <w:pPr>
        <w:ind w:left="3246" w:hanging="212"/>
      </w:pPr>
      <w:rPr>
        <w:rFonts w:hint="default"/>
      </w:rPr>
    </w:lvl>
    <w:lvl w:ilvl="5">
      <w:start w:val="0"/>
      <w:numFmt w:val="bullet"/>
      <w:lvlText w:val="•"/>
      <w:lvlJc w:val="left"/>
      <w:pPr>
        <w:ind w:left="4128" w:hanging="212"/>
      </w:pPr>
      <w:rPr>
        <w:rFonts w:hint="default"/>
      </w:rPr>
    </w:lvl>
    <w:lvl w:ilvl="6">
      <w:start w:val="0"/>
      <w:numFmt w:val="bullet"/>
      <w:lvlText w:val="•"/>
      <w:lvlJc w:val="left"/>
      <w:pPr>
        <w:ind w:left="5010" w:hanging="212"/>
      </w:pPr>
      <w:rPr>
        <w:rFonts w:hint="default"/>
      </w:rPr>
    </w:lvl>
    <w:lvl w:ilvl="7">
      <w:start w:val="0"/>
      <w:numFmt w:val="bullet"/>
      <w:lvlText w:val="•"/>
      <w:lvlJc w:val="left"/>
      <w:pPr>
        <w:ind w:left="5892" w:hanging="212"/>
      </w:pPr>
      <w:rPr>
        <w:rFonts w:hint="default"/>
      </w:rPr>
    </w:lvl>
    <w:lvl w:ilvl="8">
      <w:start w:val="0"/>
      <w:numFmt w:val="bullet"/>
      <w:lvlText w:val="•"/>
      <w:lvlJc w:val="left"/>
      <w:pPr>
        <w:ind w:left="6774" w:hanging="212"/>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rPr>
  </w:style>
  <w:style w:styleId="TOC1" w:type="paragraph">
    <w:name w:val="TOC 1"/>
    <w:basedOn w:val="Normal"/>
    <w:uiPriority w:val="1"/>
    <w:qFormat/>
    <w:pPr>
      <w:spacing w:before="78"/>
      <w:ind w:left="600" w:hanging="480"/>
    </w:pPr>
    <w:rPr>
      <w:rFonts w:ascii="Microsoft YaHei" w:hAnsi="Microsoft YaHei" w:eastAsia="Microsoft YaHei" w:cs="Microsoft YaHei"/>
      <w:b/>
      <w:bCs/>
      <w:sz w:val="22"/>
      <w:szCs w:val="22"/>
    </w:rPr>
  </w:style>
  <w:style w:styleId="TOC2" w:type="paragraph">
    <w:name w:val="TOC 2"/>
    <w:basedOn w:val="Normal"/>
    <w:uiPriority w:val="1"/>
    <w:qFormat/>
    <w:pPr>
      <w:spacing w:before="10"/>
      <w:ind w:left="360"/>
    </w:pPr>
    <w:rPr>
      <w:rFonts w:ascii="Microsoft YaHei" w:hAnsi="Microsoft YaHei" w:eastAsia="Microsoft YaHei" w:cs="Microsoft YaHei"/>
      <w:b/>
      <w:bCs/>
      <w:sz w:val="22"/>
      <w:szCs w:val="22"/>
    </w:rPr>
  </w:style>
  <w:style w:styleId="TOC3" w:type="paragraph">
    <w:name w:val="TOC 3"/>
    <w:basedOn w:val="Normal"/>
    <w:uiPriority w:val="1"/>
    <w:qFormat/>
    <w:pPr>
      <w:spacing w:before="108"/>
      <w:ind w:left="571" w:hanging="211"/>
    </w:pPr>
    <w:rPr>
      <w:rFonts w:ascii="SimSun" w:hAnsi="SimSun" w:eastAsia="SimSun" w:cs="SimSun"/>
      <w:sz w:val="22"/>
      <w:szCs w:val="22"/>
    </w:rPr>
  </w:style>
  <w:style w:styleId="BodyText" w:type="paragraph">
    <w:name w:val="Body Text"/>
    <w:basedOn w:val="Normal"/>
    <w:uiPriority w:val="1"/>
    <w:qFormat/>
    <w:pPr/>
    <w:rPr>
      <w:rFonts w:ascii="SimSun" w:hAnsi="SimSun" w:eastAsia="SimSun" w:cs="SimSun"/>
      <w:sz w:val="24"/>
      <w:szCs w:val="24"/>
    </w:rPr>
  </w:style>
  <w:style w:styleId="Heading1" w:type="paragraph">
    <w:name w:val="Heading 1"/>
    <w:basedOn w:val="Normal"/>
    <w:uiPriority w:val="1"/>
    <w:qFormat/>
    <w:pPr>
      <w:ind w:left="1369"/>
      <w:jc w:val="center"/>
      <w:outlineLvl w:val="1"/>
    </w:pPr>
    <w:rPr>
      <w:rFonts w:ascii="Microsoft YaHei" w:hAnsi="Microsoft YaHei" w:eastAsia="Microsoft YaHei" w:cs="Microsoft YaHei"/>
      <w:b/>
      <w:bCs/>
      <w:sz w:val="36"/>
      <w:szCs w:val="36"/>
    </w:rPr>
  </w:style>
  <w:style w:styleId="Heading2" w:type="paragraph">
    <w:name w:val="Heading 2"/>
    <w:basedOn w:val="Normal"/>
    <w:uiPriority w:val="1"/>
    <w:qFormat/>
    <w:pPr>
      <w:outlineLvl w:val="2"/>
    </w:pPr>
    <w:rPr>
      <w:rFonts w:ascii="Microsoft YaHei" w:hAnsi="Microsoft YaHei" w:eastAsia="Microsoft YaHei" w:cs="Microsoft YaHei"/>
      <w:b/>
      <w:bCs/>
      <w:sz w:val="32"/>
      <w:szCs w:val="32"/>
    </w:rPr>
  </w:style>
  <w:style w:styleId="Heading3" w:type="paragraph">
    <w:name w:val="Heading 3"/>
    <w:basedOn w:val="Normal"/>
    <w:uiPriority w:val="1"/>
    <w:qFormat/>
    <w:pPr>
      <w:ind w:left="540"/>
      <w:outlineLvl w:val="3"/>
    </w:pPr>
    <w:rPr>
      <w:rFonts w:ascii="Microsoft YaHei" w:hAnsi="Microsoft YaHei" w:eastAsia="Microsoft YaHei" w:cs="Microsoft YaHei"/>
      <w:b/>
      <w:bCs/>
      <w:sz w:val="24"/>
      <w:szCs w:val="24"/>
    </w:rPr>
  </w:style>
  <w:style w:styleId="ListParagraph" w:type="paragraph">
    <w:name w:val="List Paragraph"/>
    <w:basedOn w:val="Normal"/>
    <w:uiPriority w:val="1"/>
    <w:qFormat/>
    <w:pPr>
      <w:ind w:left="360" w:hanging="360"/>
    </w:pPr>
    <w:rPr>
      <w:rFonts w:ascii="Microsoft YaHei" w:hAnsi="Microsoft YaHei" w:eastAsia="Microsoft YaHei" w:cs="Microsoft YaHe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oecd.org/tax/oecd-releases-fourth-round-of-beps-action-14-peer-review-reports-on-improving-tax-disp" TargetMode="External"/><Relationship Id="rId9" Type="http://schemas.openxmlformats.org/officeDocument/2006/relationships/footer" Target="footer2.xml"/><Relationship Id="rId10" Type="http://schemas.openxmlformats.org/officeDocument/2006/relationships/hyperlink" Target="http://www.oecd.org/tax/oecd-tax-policy-reviews-slovenia-2018-9789264303898-en.htm" TargetMode="External"/><Relationship Id="rId11" Type="http://schemas.openxmlformats.org/officeDocument/2006/relationships/footer" Target="footer3.xml"/><Relationship Id="rId12" Type="http://schemas.openxmlformats.org/officeDocument/2006/relationships/image" Target="media/image4.png"/><Relationship Id="rId13" Type="http://schemas.openxmlformats.org/officeDocument/2006/relationships/hyperlink" Target="http://www.oecd-ilibrary.org/taxation/corporate-effective-tax-rates_a07f9958-en" TargetMode="External"/><Relationship Id="rId14" Type="http://schemas.openxmlformats.org/officeDocument/2006/relationships/hyperlink" Target="http://www.oecd-ilibrary.org/taxation/unintended-technology-bias-in-corporate-income-taxation_9f4a34ff-en" TargetMode="External"/><Relationship Id="rId15" Type="http://schemas.openxmlformats.org/officeDocument/2006/relationships/hyperlink" Target="http://www.oecd-ilibrary.org/taxation/domestic-revenue-mobilisation_a87feae8-en" TargetMode="External"/><Relationship Id="rId16" Type="http://schemas.openxmlformats.org/officeDocument/2006/relationships/footer" Target="footer4.xml"/><Relationship Id="rId17" Type="http://schemas.openxmlformats.org/officeDocument/2006/relationships/hyperlink" Target="http://www.oecd-ilibrary.org/taxation/the-role-and-design-of-net-wealth-taxes-in-the-oecd_9789264290303-en" TargetMode="External"/><Relationship Id="rId18" Type="http://schemas.openxmlformats.org/officeDocument/2006/relationships/hyperlink" Target="http://www.oecd-ilibrary.org/taxation/taxation-of-household-savings_9789264289536-en" TargetMode="External"/><Relationship Id="rId19" Type="http://schemas.openxmlformats.org/officeDocument/2006/relationships/hyperlink" Target="http://www.oecd-ilibrary.org/taxation/taxation-and-skills_9789264269385-en" TargetMode="External"/><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hyperlink" Target="mailto:120286069@qq.com"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dc:creator>
  <dcterms:created xsi:type="dcterms:W3CDTF">2012-12-10T04:01:53Z</dcterms:created>
  <dcterms:modified xsi:type="dcterms:W3CDTF">2012-12-10T04:01:53Z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Word 2013</vt:lpwstr>
  </property>
  <property fmtid="{D5CDD505-2E9C-101B-9397-08002B2CF9AE}" pid="4" name="LastSaved">
    <vt:filetime>2012-12-10T00:00:00Z</vt:filetime>
  </property>
</Properties>
</file>